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32A" w:rsidRPr="004B743F" w:rsidRDefault="00E9232A" w:rsidP="003C6F8F">
      <w:pPr>
        <w:spacing w:line="276" w:lineRule="auto"/>
        <w:jc w:val="both"/>
        <w:rPr>
          <w:rFonts w:ascii="Bookman Old Style" w:hAnsi="Bookman Old Style"/>
          <w:b/>
          <w:sz w:val="22"/>
          <w:szCs w:val="22"/>
        </w:rPr>
      </w:pPr>
      <w:r w:rsidRPr="004B743F">
        <w:rPr>
          <w:rFonts w:ascii="Bookman Old Style" w:hAnsi="Bookman Old Style"/>
          <w:b/>
          <w:sz w:val="22"/>
          <w:szCs w:val="22"/>
        </w:rPr>
        <w:t>Expediente: 5/2018</w:t>
      </w:r>
    </w:p>
    <w:p w:rsidR="00E9232A" w:rsidRPr="004B743F" w:rsidRDefault="00E9232A" w:rsidP="003C6F8F">
      <w:pPr>
        <w:spacing w:line="276" w:lineRule="auto"/>
        <w:jc w:val="both"/>
        <w:rPr>
          <w:rFonts w:ascii="Bookman Old Style" w:hAnsi="Bookman Old Style"/>
          <w:b/>
          <w:sz w:val="22"/>
          <w:szCs w:val="22"/>
        </w:rPr>
      </w:pPr>
    </w:p>
    <w:p w:rsidR="00E9232A" w:rsidRPr="004B743F" w:rsidRDefault="00E9232A" w:rsidP="003C6F8F">
      <w:pPr>
        <w:spacing w:line="276" w:lineRule="auto"/>
        <w:jc w:val="both"/>
        <w:rPr>
          <w:rFonts w:ascii="Bookman Old Style" w:hAnsi="Bookman Old Style"/>
          <w:b/>
          <w:sz w:val="22"/>
          <w:szCs w:val="22"/>
        </w:rPr>
      </w:pPr>
      <w:r w:rsidRPr="004B743F">
        <w:rPr>
          <w:rFonts w:ascii="Bookman Old Style" w:hAnsi="Bookman Old Style"/>
          <w:b/>
          <w:sz w:val="22"/>
          <w:szCs w:val="22"/>
        </w:rPr>
        <w:t>Materia: Limitación de los contratos menores: cómputo del plazo.</w:t>
      </w:r>
    </w:p>
    <w:p w:rsidR="00E9232A" w:rsidRPr="004B743F" w:rsidRDefault="00E9232A" w:rsidP="003C6F8F">
      <w:pPr>
        <w:spacing w:line="276" w:lineRule="auto"/>
        <w:jc w:val="both"/>
        <w:rPr>
          <w:rFonts w:ascii="Bookman Old Style" w:hAnsi="Bookman Old Style"/>
          <w:sz w:val="22"/>
          <w:szCs w:val="22"/>
        </w:rPr>
      </w:pPr>
    </w:p>
    <w:p w:rsidR="00E9232A" w:rsidRPr="004B743F" w:rsidRDefault="00E9232A" w:rsidP="003C6F8F">
      <w:pPr>
        <w:spacing w:line="276" w:lineRule="auto"/>
        <w:jc w:val="both"/>
        <w:rPr>
          <w:rFonts w:ascii="Bookman Old Style" w:hAnsi="Bookman Old Style"/>
          <w:sz w:val="22"/>
          <w:szCs w:val="22"/>
        </w:rPr>
      </w:pPr>
    </w:p>
    <w:p w:rsidR="00E9232A" w:rsidRPr="004B743F" w:rsidRDefault="00E9232A" w:rsidP="003C6F8F">
      <w:pPr>
        <w:spacing w:line="276" w:lineRule="auto"/>
        <w:jc w:val="both"/>
        <w:rPr>
          <w:rFonts w:ascii="Bookman Old Style" w:hAnsi="Bookman Old Style"/>
          <w:sz w:val="22"/>
          <w:szCs w:val="22"/>
        </w:rPr>
      </w:pPr>
    </w:p>
    <w:p w:rsidR="003C6F8F" w:rsidRPr="004B743F" w:rsidRDefault="00E9232A" w:rsidP="003C6F8F">
      <w:pPr>
        <w:spacing w:line="276" w:lineRule="auto"/>
        <w:jc w:val="both"/>
        <w:rPr>
          <w:rFonts w:ascii="Bookman Old Style" w:hAnsi="Bookman Old Style"/>
          <w:sz w:val="22"/>
          <w:szCs w:val="22"/>
        </w:rPr>
      </w:pPr>
      <w:r w:rsidRPr="004B743F">
        <w:rPr>
          <w:rFonts w:ascii="Bookman Old Style" w:hAnsi="Bookman Old Style"/>
          <w:sz w:val="22"/>
          <w:szCs w:val="22"/>
        </w:rPr>
        <w:t>La Diputación de Almería ha remitido consulta a la Junta Consultiva de Contratación Pública del Estado en los siguientes términos:</w:t>
      </w:r>
    </w:p>
    <w:p w:rsidR="00E9232A" w:rsidRPr="004B743F" w:rsidRDefault="00E9232A" w:rsidP="003C6F8F">
      <w:pPr>
        <w:spacing w:line="276" w:lineRule="auto"/>
        <w:jc w:val="both"/>
        <w:rPr>
          <w:rFonts w:ascii="Bookman Old Style" w:hAnsi="Bookman Old Style"/>
          <w:sz w:val="22"/>
          <w:szCs w:val="22"/>
        </w:rPr>
      </w:pPr>
    </w:p>
    <w:p w:rsidR="00E9232A" w:rsidRPr="004B743F" w:rsidRDefault="00E9232A" w:rsidP="00E9232A">
      <w:pPr>
        <w:spacing w:line="276" w:lineRule="auto"/>
        <w:jc w:val="both"/>
        <w:rPr>
          <w:rFonts w:ascii="Bookman Old Style" w:hAnsi="Bookman Old Style"/>
          <w:i/>
          <w:sz w:val="22"/>
          <w:szCs w:val="22"/>
        </w:rPr>
      </w:pPr>
      <w:r w:rsidRPr="004B743F">
        <w:rPr>
          <w:rFonts w:ascii="Bookman Old Style" w:hAnsi="Bookman Old Style"/>
          <w:i/>
          <w:sz w:val="22"/>
          <w:szCs w:val="22"/>
        </w:rPr>
        <w:t>“En virtud de la presente, desde la Diputación de Almería se le manifiesta lo siguiente:</w:t>
      </w:r>
    </w:p>
    <w:p w:rsidR="00E9232A" w:rsidRPr="004B743F" w:rsidRDefault="00E9232A" w:rsidP="00E9232A">
      <w:pPr>
        <w:spacing w:line="276" w:lineRule="auto"/>
        <w:jc w:val="both"/>
        <w:rPr>
          <w:rFonts w:ascii="Bookman Old Style" w:hAnsi="Bookman Old Style"/>
          <w:i/>
          <w:sz w:val="22"/>
          <w:szCs w:val="22"/>
        </w:rPr>
      </w:pPr>
    </w:p>
    <w:p w:rsidR="00E9232A" w:rsidRPr="004B743F" w:rsidRDefault="00E9232A" w:rsidP="00E9232A">
      <w:pPr>
        <w:spacing w:line="276" w:lineRule="auto"/>
        <w:jc w:val="both"/>
        <w:rPr>
          <w:rFonts w:ascii="Bookman Old Style" w:hAnsi="Bookman Old Style"/>
          <w:i/>
          <w:sz w:val="22"/>
          <w:szCs w:val="22"/>
        </w:rPr>
      </w:pPr>
      <w:r w:rsidRPr="004B743F">
        <w:rPr>
          <w:rFonts w:ascii="Bookman Old Style" w:hAnsi="Bookman Old Style"/>
          <w:i/>
          <w:sz w:val="22"/>
          <w:szCs w:val="22"/>
        </w:rPr>
        <w:t xml:space="preserve">Visto el artículo 138 del Real Decreto Legislativo 3/2011, de 14 de noviembre, por el que «Se consideran contratos menores los contratos de importe inferior a 50.000€ cuando se trate de contratos de obras, o a 18.000 euros cuando se trate de contratos de otros contratos, sin perjuicio de lo dispuesto en el articulo 206 en relación con las obras, </w:t>
      </w:r>
      <w:r w:rsidR="007B1E16" w:rsidRPr="004B743F">
        <w:rPr>
          <w:rFonts w:ascii="Bookman Old Style" w:hAnsi="Bookman Old Style"/>
          <w:i/>
          <w:sz w:val="22"/>
          <w:szCs w:val="22"/>
        </w:rPr>
        <w:t>servicios y sumi</w:t>
      </w:r>
      <w:r w:rsidRPr="004B743F">
        <w:rPr>
          <w:rFonts w:ascii="Bookman Old Style" w:hAnsi="Bookman Old Style"/>
          <w:i/>
          <w:sz w:val="22"/>
          <w:szCs w:val="22"/>
        </w:rPr>
        <w:t>nistros centralizados en el ámbito estatal</w:t>
      </w:r>
      <w:r w:rsidR="007B1E16" w:rsidRPr="004B743F">
        <w:rPr>
          <w:rFonts w:ascii="Bookman Old Style" w:hAnsi="Bookman Old Style"/>
          <w:i/>
          <w:sz w:val="22"/>
          <w:szCs w:val="22"/>
        </w:rPr>
        <w:t>.</w:t>
      </w:r>
      <w:r w:rsidRPr="004B743F">
        <w:rPr>
          <w:rFonts w:ascii="Bookman Old Style" w:hAnsi="Bookman Old Style"/>
          <w:i/>
          <w:sz w:val="22"/>
          <w:szCs w:val="22"/>
        </w:rPr>
        <w:t>»</w:t>
      </w:r>
    </w:p>
    <w:p w:rsidR="00E9232A" w:rsidRPr="004B743F" w:rsidRDefault="00E9232A" w:rsidP="00E9232A">
      <w:pPr>
        <w:spacing w:line="276" w:lineRule="auto"/>
        <w:jc w:val="both"/>
        <w:rPr>
          <w:rFonts w:ascii="Bookman Old Style" w:hAnsi="Bookman Old Style"/>
          <w:i/>
          <w:sz w:val="22"/>
          <w:szCs w:val="22"/>
        </w:rPr>
      </w:pPr>
    </w:p>
    <w:p w:rsidR="00E9232A" w:rsidRPr="004B743F" w:rsidRDefault="00E9232A" w:rsidP="007B1E16">
      <w:pPr>
        <w:spacing w:line="276" w:lineRule="auto"/>
        <w:jc w:val="both"/>
        <w:rPr>
          <w:rFonts w:ascii="Bookman Old Style" w:hAnsi="Bookman Old Style"/>
          <w:i/>
          <w:sz w:val="22"/>
          <w:szCs w:val="22"/>
        </w:rPr>
      </w:pPr>
      <w:r w:rsidRPr="004B743F">
        <w:rPr>
          <w:rFonts w:ascii="Bookman Old Style" w:hAnsi="Bookman Old Style"/>
          <w:i/>
          <w:sz w:val="22"/>
          <w:szCs w:val="22"/>
        </w:rPr>
        <w:t xml:space="preserve">Visto el artículo 118 de la Ley 9/2017, de 8 de noviembre, de Contratos del Sector Público, que entrará en vigor el 9 de marzo de 2.018, por el que se establece que </w:t>
      </w:r>
      <w:r w:rsidR="007B1E16" w:rsidRPr="004B743F">
        <w:rPr>
          <w:rFonts w:ascii="Bookman Old Style" w:hAnsi="Bookman Old Style"/>
          <w:i/>
          <w:sz w:val="22"/>
          <w:szCs w:val="22"/>
        </w:rPr>
        <w:t>«Se consideran contratos menores los contratos de valor estimado inferior a 40.000 euros, cuando se trate de contratos de obras, o a 15.000 euros, cuando se trate de contratos de suministro o de servicios, sin perjuicio de lo dispuesto en el artículo 229 en relación con las obras, servicios y suministros centralizados en el ámbito estatal.»</w:t>
      </w:r>
    </w:p>
    <w:p w:rsidR="007B1E16" w:rsidRPr="004B743F" w:rsidRDefault="007B1E16" w:rsidP="00E9232A">
      <w:pPr>
        <w:spacing w:line="276" w:lineRule="auto"/>
        <w:jc w:val="both"/>
        <w:rPr>
          <w:rFonts w:ascii="Bookman Old Style" w:hAnsi="Bookman Old Style"/>
          <w:i/>
          <w:sz w:val="22"/>
          <w:szCs w:val="22"/>
        </w:rPr>
      </w:pPr>
    </w:p>
    <w:p w:rsidR="00E9232A" w:rsidRPr="004B743F" w:rsidRDefault="007B1E16" w:rsidP="00E9232A">
      <w:pPr>
        <w:spacing w:line="276" w:lineRule="auto"/>
        <w:jc w:val="both"/>
        <w:rPr>
          <w:rFonts w:ascii="Bookman Old Style" w:hAnsi="Bookman Old Style"/>
          <w:i/>
          <w:sz w:val="22"/>
          <w:szCs w:val="22"/>
        </w:rPr>
      </w:pPr>
      <w:r w:rsidRPr="004B743F">
        <w:rPr>
          <w:rFonts w:ascii="Bookman Old Style" w:hAnsi="Bookman Old Style"/>
          <w:i/>
          <w:sz w:val="22"/>
          <w:szCs w:val="22"/>
        </w:rPr>
        <w:t>Teniendo en cuenta lo</w:t>
      </w:r>
      <w:r w:rsidR="00E9232A" w:rsidRPr="004B743F">
        <w:rPr>
          <w:rFonts w:ascii="Bookman Old Style" w:hAnsi="Bookman Old Style"/>
          <w:i/>
          <w:sz w:val="22"/>
          <w:szCs w:val="22"/>
        </w:rPr>
        <w:t xml:space="preserve"> estipulado en la Disposición </w:t>
      </w:r>
      <w:r w:rsidRPr="004B743F">
        <w:rPr>
          <w:rFonts w:ascii="Bookman Old Style" w:hAnsi="Bookman Old Style"/>
          <w:i/>
          <w:sz w:val="22"/>
          <w:szCs w:val="22"/>
        </w:rPr>
        <w:t>Transitoria</w:t>
      </w:r>
      <w:r w:rsidR="00E9232A" w:rsidRPr="004B743F">
        <w:rPr>
          <w:rFonts w:ascii="Bookman Old Style" w:hAnsi="Bookman Old Style"/>
          <w:i/>
          <w:sz w:val="22"/>
          <w:szCs w:val="22"/>
        </w:rPr>
        <w:t xml:space="preserve"> primera de la Ley</w:t>
      </w:r>
      <w:r w:rsidRPr="004B743F">
        <w:rPr>
          <w:rFonts w:ascii="Bookman Old Style" w:hAnsi="Bookman Old Style"/>
          <w:i/>
          <w:sz w:val="22"/>
          <w:szCs w:val="22"/>
        </w:rPr>
        <w:t xml:space="preserve"> </w:t>
      </w:r>
      <w:r w:rsidR="00E9232A" w:rsidRPr="004B743F">
        <w:rPr>
          <w:rFonts w:ascii="Bookman Old Style" w:hAnsi="Bookman Old Style"/>
          <w:i/>
          <w:sz w:val="22"/>
          <w:szCs w:val="22"/>
        </w:rPr>
        <w:t xml:space="preserve">9/2017, de 8 de </w:t>
      </w:r>
      <w:r w:rsidRPr="004B743F">
        <w:rPr>
          <w:rFonts w:ascii="Bookman Old Style" w:hAnsi="Bookman Old Style"/>
          <w:i/>
          <w:sz w:val="22"/>
          <w:szCs w:val="22"/>
        </w:rPr>
        <w:t>noviembre</w:t>
      </w:r>
      <w:r w:rsidR="00E9232A" w:rsidRPr="004B743F">
        <w:rPr>
          <w:rFonts w:ascii="Bookman Old Style" w:hAnsi="Bookman Old Style"/>
          <w:i/>
          <w:sz w:val="22"/>
          <w:szCs w:val="22"/>
        </w:rPr>
        <w:t>,</w:t>
      </w:r>
      <w:r w:rsidRPr="004B743F">
        <w:rPr>
          <w:rFonts w:ascii="Bookman Old Style" w:hAnsi="Bookman Old Style"/>
          <w:i/>
          <w:sz w:val="22"/>
          <w:szCs w:val="22"/>
        </w:rPr>
        <w:t xml:space="preserve"> </w:t>
      </w:r>
      <w:r w:rsidR="00E9232A" w:rsidRPr="004B743F">
        <w:rPr>
          <w:rFonts w:ascii="Bookman Old Style" w:hAnsi="Bookman Old Style"/>
          <w:i/>
          <w:sz w:val="22"/>
          <w:szCs w:val="22"/>
        </w:rPr>
        <w:t>de</w:t>
      </w:r>
      <w:r w:rsidRPr="004B743F">
        <w:rPr>
          <w:rFonts w:ascii="Bookman Old Style" w:hAnsi="Bookman Old Style"/>
          <w:i/>
          <w:sz w:val="22"/>
          <w:szCs w:val="22"/>
        </w:rPr>
        <w:t xml:space="preserve"> Contratos del Sector Público</w:t>
      </w:r>
      <w:r w:rsidR="00E9232A" w:rsidRPr="004B743F">
        <w:rPr>
          <w:rFonts w:ascii="Bookman Old Style" w:hAnsi="Bookman Old Style"/>
          <w:i/>
          <w:sz w:val="22"/>
          <w:szCs w:val="22"/>
        </w:rPr>
        <w:t xml:space="preserve"> respecto de los </w:t>
      </w:r>
      <w:r w:rsidRPr="004B743F">
        <w:rPr>
          <w:rFonts w:ascii="Bookman Old Style" w:hAnsi="Bookman Old Style"/>
          <w:i/>
          <w:sz w:val="22"/>
          <w:szCs w:val="22"/>
        </w:rPr>
        <w:t>expedientes iniciados y</w:t>
      </w:r>
      <w:r w:rsidR="00E9232A" w:rsidRPr="004B743F">
        <w:rPr>
          <w:rFonts w:ascii="Bookman Old Style" w:hAnsi="Bookman Old Style"/>
          <w:i/>
          <w:sz w:val="22"/>
          <w:szCs w:val="22"/>
        </w:rPr>
        <w:t xml:space="preserve"> contratos adjudicados con anterioridad a la entrada en </w:t>
      </w:r>
      <w:r w:rsidRPr="004B743F">
        <w:rPr>
          <w:rFonts w:ascii="Bookman Old Style" w:hAnsi="Bookman Old Style"/>
          <w:i/>
          <w:sz w:val="22"/>
          <w:szCs w:val="22"/>
        </w:rPr>
        <w:t>vigor de</w:t>
      </w:r>
      <w:r w:rsidR="00E9232A" w:rsidRPr="004B743F">
        <w:rPr>
          <w:rFonts w:ascii="Bookman Old Style" w:hAnsi="Bookman Old Style"/>
          <w:i/>
          <w:sz w:val="22"/>
          <w:szCs w:val="22"/>
        </w:rPr>
        <w:t xml:space="preserve"> dicha Ley.</w:t>
      </w:r>
    </w:p>
    <w:p w:rsidR="007B1E16" w:rsidRPr="004B743F" w:rsidRDefault="007B1E16" w:rsidP="00E9232A">
      <w:pPr>
        <w:spacing w:line="276" w:lineRule="auto"/>
        <w:jc w:val="both"/>
        <w:rPr>
          <w:rFonts w:ascii="Bookman Old Style" w:hAnsi="Bookman Old Style"/>
          <w:i/>
          <w:sz w:val="22"/>
          <w:szCs w:val="22"/>
        </w:rPr>
      </w:pPr>
    </w:p>
    <w:p w:rsidR="00E9232A" w:rsidRPr="004B743F" w:rsidRDefault="00E9232A" w:rsidP="007B1E16">
      <w:pPr>
        <w:spacing w:line="276" w:lineRule="auto"/>
        <w:jc w:val="both"/>
        <w:rPr>
          <w:rFonts w:ascii="Bookman Old Style" w:hAnsi="Bookman Old Style"/>
          <w:i/>
          <w:sz w:val="22"/>
          <w:szCs w:val="22"/>
        </w:rPr>
      </w:pPr>
      <w:r w:rsidRPr="004B743F">
        <w:rPr>
          <w:rFonts w:ascii="Bookman Old Style" w:hAnsi="Bookman Old Style"/>
          <w:i/>
          <w:sz w:val="22"/>
          <w:szCs w:val="22"/>
        </w:rPr>
        <w:t xml:space="preserve">Considerando el </w:t>
      </w:r>
      <w:r w:rsidR="007B1E16" w:rsidRPr="004B743F">
        <w:rPr>
          <w:rFonts w:ascii="Bookman Old Style" w:hAnsi="Bookman Old Style"/>
          <w:i/>
          <w:sz w:val="22"/>
          <w:szCs w:val="22"/>
        </w:rPr>
        <w:t>artículo</w:t>
      </w:r>
      <w:r w:rsidRPr="004B743F">
        <w:rPr>
          <w:rFonts w:ascii="Bookman Old Style" w:hAnsi="Bookman Old Style"/>
          <w:i/>
          <w:sz w:val="22"/>
          <w:szCs w:val="22"/>
        </w:rPr>
        <w:t xml:space="preserve"> 2 del Código Civil, en el que </w:t>
      </w:r>
      <w:r w:rsidR="007B1E16" w:rsidRPr="004B743F">
        <w:rPr>
          <w:rFonts w:ascii="Bookman Old Style" w:hAnsi="Bookman Old Style"/>
          <w:i/>
          <w:sz w:val="22"/>
          <w:szCs w:val="22"/>
        </w:rPr>
        <w:t>se indica que las leyes entrarán en vigor a los veinte días de su completa publicación en el «Boletín Oficial del Estado», si en ellas no se dispone otra cosa y que las leyes no tendrán efecto retroactivo, si no dispusieren lo contrario.</w:t>
      </w:r>
    </w:p>
    <w:p w:rsidR="007B1E16" w:rsidRPr="004B743F" w:rsidRDefault="007B1E16" w:rsidP="00E9232A">
      <w:pPr>
        <w:spacing w:line="276" w:lineRule="auto"/>
        <w:jc w:val="both"/>
        <w:rPr>
          <w:rFonts w:ascii="Bookman Old Style" w:hAnsi="Bookman Old Style"/>
          <w:i/>
          <w:sz w:val="22"/>
          <w:szCs w:val="22"/>
        </w:rPr>
      </w:pPr>
    </w:p>
    <w:p w:rsidR="00E9232A" w:rsidRPr="004B743F" w:rsidRDefault="00E9232A" w:rsidP="00E9232A">
      <w:pPr>
        <w:spacing w:line="276" w:lineRule="auto"/>
        <w:jc w:val="both"/>
        <w:rPr>
          <w:rFonts w:ascii="Bookman Old Style" w:hAnsi="Bookman Old Style"/>
          <w:i/>
          <w:sz w:val="22"/>
          <w:szCs w:val="22"/>
        </w:rPr>
      </w:pPr>
      <w:r w:rsidRPr="004B743F">
        <w:rPr>
          <w:rFonts w:ascii="Bookman Old Style" w:hAnsi="Bookman Old Style"/>
          <w:i/>
          <w:sz w:val="22"/>
          <w:szCs w:val="22"/>
        </w:rPr>
        <w:t>Se plantea la siguiente pregunta:</w:t>
      </w:r>
    </w:p>
    <w:p w:rsidR="007B1E16" w:rsidRPr="004B743F" w:rsidRDefault="007B1E16" w:rsidP="00E9232A">
      <w:pPr>
        <w:spacing w:line="276" w:lineRule="auto"/>
        <w:jc w:val="both"/>
        <w:rPr>
          <w:rFonts w:ascii="Bookman Old Style" w:hAnsi="Bookman Old Style"/>
          <w:i/>
          <w:sz w:val="22"/>
          <w:szCs w:val="22"/>
        </w:rPr>
      </w:pPr>
    </w:p>
    <w:p w:rsidR="00E9232A" w:rsidRPr="004B743F" w:rsidRDefault="00E9232A" w:rsidP="00E9232A">
      <w:pPr>
        <w:spacing w:line="276" w:lineRule="auto"/>
        <w:jc w:val="both"/>
        <w:rPr>
          <w:rFonts w:ascii="Bookman Old Style" w:hAnsi="Bookman Old Style"/>
          <w:i/>
          <w:sz w:val="22"/>
          <w:szCs w:val="22"/>
        </w:rPr>
      </w:pPr>
      <w:r w:rsidRPr="004B743F">
        <w:rPr>
          <w:rFonts w:ascii="Bookman Old Style" w:hAnsi="Bookman Old Style"/>
          <w:i/>
          <w:sz w:val="22"/>
          <w:szCs w:val="22"/>
        </w:rPr>
        <w:t xml:space="preserve">Si </w:t>
      </w:r>
      <w:r w:rsidR="007B1E16" w:rsidRPr="004B743F">
        <w:rPr>
          <w:rFonts w:ascii="Bookman Old Style" w:hAnsi="Bookman Old Style"/>
          <w:i/>
          <w:sz w:val="22"/>
          <w:szCs w:val="22"/>
        </w:rPr>
        <w:t xml:space="preserve"> se celebra</w:t>
      </w:r>
      <w:r w:rsidRPr="004B743F">
        <w:rPr>
          <w:rFonts w:ascii="Bookman Old Style" w:hAnsi="Bookman Old Style"/>
          <w:i/>
          <w:sz w:val="22"/>
          <w:szCs w:val="22"/>
        </w:rPr>
        <w:t xml:space="preserve"> un contrato menor </w:t>
      </w:r>
      <w:r w:rsidR="007B1E16" w:rsidRPr="004B743F">
        <w:rPr>
          <w:rFonts w:ascii="Bookman Old Style" w:hAnsi="Bookman Old Style"/>
          <w:i/>
          <w:sz w:val="22"/>
          <w:szCs w:val="22"/>
        </w:rPr>
        <w:t>antes</w:t>
      </w:r>
      <w:r w:rsidRPr="004B743F">
        <w:rPr>
          <w:rFonts w:ascii="Bookman Old Style" w:hAnsi="Bookman Old Style"/>
          <w:i/>
          <w:sz w:val="22"/>
          <w:szCs w:val="22"/>
        </w:rPr>
        <w:t xml:space="preserve"> de la entrada </w:t>
      </w:r>
      <w:r w:rsidR="007B1E16" w:rsidRPr="004B743F">
        <w:rPr>
          <w:rFonts w:ascii="Bookman Old Style" w:hAnsi="Bookman Old Style"/>
          <w:i/>
          <w:sz w:val="22"/>
          <w:szCs w:val="22"/>
        </w:rPr>
        <w:t xml:space="preserve">en vigor de la Ley 9/2017 con un </w:t>
      </w:r>
      <w:r w:rsidRPr="004B743F">
        <w:rPr>
          <w:rFonts w:ascii="Bookman Old Style" w:hAnsi="Bookman Old Style"/>
          <w:i/>
          <w:sz w:val="22"/>
          <w:szCs w:val="22"/>
        </w:rPr>
        <w:t>d</w:t>
      </w:r>
      <w:r w:rsidR="007B1E16" w:rsidRPr="004B743F">
        <w:rPr>
          <w:rFonts w:ascii="Bookman Old Style" w:hAnsi="Bookman Old Style"/>
          <w:i/>
          <w:sz w:val="22"/>
          <w:szCs w:val="22"/>
        </w:rPr>
        <w:t>e</w:t>
      </w:r>
      <w:r w:rsidRPr="004B743F">
        <w:rPr>
          <w:rFonts w:ascii="Bookman Old Style" w:hAnsi="Bookman Old Style"/>
          <w:i/>
          <w:sz w:val="22"/>
          <w:szCs w:val="22"/>
        </w:rPr>
        <w:t xml:space="preserve">terminado </w:t>
      </w:r>
      <w:r w:rsidR="007B1E16" w:rsidRPr="004B743F">
        <w:rPr>
          <w:rFonts w:ascii="Bookman Old Style" w:hAnsi="Bookman Old Style"/>
          <w:i/>
          <w:sz w:val="22"/>
          <w:szCs w:val="22"/>
        </w:rPr>
        <w:t>contratista</w:t>
      </w:r>
      <w:r w:rsidRPr="004B743F">
        <w:rPr>
          <w:rFonts w:ascii="Bookman Old Style" w:hAnsi="Bookman Old Style"/>
          <w:i/>
          <w:sz w:val="22"/>
          <w:szCs w:val="22"/>
        </w:rPr>
        <w:t>,</w:t>
      </w:r>
      <w:r w:rsidR="007B1E16" w:rsidRPr="004B743F">
        <w:rPr>
          <w:rFonts w:ascii="Bookman Old Style" w:hAnsi="Bookman Old Style"/>
          <w:i/>
          <w:sz w:val="22"/>
          <w:szCs w:val="22"/>
        </w:rPr>
        <w:t xml:space="preserve"> una</w:t>
      </w:r>
      <w:r w:rsidRPr="004B743F">
        <w:rPr>
          <w:rFonts w:ascii="Bookman Old Style" w:hAnsi="Bookman Old Style"/>
          <w:i/>
          <w:sz w:val="22"/>
          <w:szCs w:val="22"/>
        </w:rPr>
        <w:t xml:space="preserve"> vez entre </w:t>
      </w:r>
      <w:r w:rsidR="007B1E16" w:rsidRPr="004B743F">
        <w:rPr>
          <w:rFonts w:ascii="Bookman Old Style" w:hAnsi="Bookman Old Style"/>
          <w:i/>
          <w:sz w:val="22"/>
          <w:szCs w:val="22"/>
        </w:rPr>
        <w:t>en vigor dicha ley, los límite</w:t>
      </w:r>
      <w:r w:rsidRPr="004B743F">
        <w:rPr>
          <w:rFonts w:ascii="Bookman Old Style" w:hAnsi="Bookman Old Style"/>
          <w:i/>
          <w:sz w:val="22"/>
          <w:szCs w:val="22"/>
        </w:rPr>
        <w:t>s pará la</w:t>
      </w:r>
      <w:r w:rsidR="007B1E16" w:rsidRPr="004B743F">
        <w:rPr>
          <w:rFonts w:ascii="Bookman Old Style" w:hAnsi="Bookman Old Style"/>
          <w:i/>
          <w:sz w:val="22"/>
          <w:szCs w:val="22"/>
        </w:rPr>
        <w:t xml:space="preserve"> </w:t>
      </w:r>
      <w:r w:rsidRPr="004B743F">
        <w:rPr>
          <w:rFonts w:ascii="Bookman Old Style" w:hAnsi="Bookman Old Style"/>
          <w:i/>
          <w:sz w:val="22"/>
          <w:szCs w:val="22"/>
        </w:rPr>
        <w:t>contratación m</w:t>
      </w:r>
      <w:r w:rsidR="007B1E16" w:rsidRPr="004B743F">
        <w:rPr>
          <w:rFonts w:ascii="Bookman Old Style" w:hAnsi="Bookman Old Style"/>
          <w:i/>
          <w:sz w:val="22"/>
          <w:szCs w:val="22"/>
        </w:rPr>
        <w:t>eno</w:t>
      </w:r>
      <w:r w:rsidRPr="004B743F">
        <w:rPr>
          <w:rFonts w:ascii="Bookman Old Style" w:hAnsi="Bookman Old Style"/>
          <w:i/>
          <w:sz w:val="22"/>
          <w:szCs w:val="22"/>
        </w:rPr>
        <w:t xml:space="preserve">r regulados en su </w:t>
      </w:r>
      <w:r w:rsidR="007B1E16" w:rsidRPr="004B743F">
        <w:rPr>
          <w:rFonts w:ascii="Bookman Old Style" w:hAnsi="Bookman Old Style"/>
          <w:i/>
          <w:sz w:val="22"/>
          <w:szCs w:val="22"/>
        </w:rPr>
        <w:t>artículo</w:t>
      </w:r>
      <w:r w:rsidRPr="004B743F">
        <w:rPr>
          <w:rFonts w:ascii="Bookman Old Style" w:hAnsi="Bookman Old Style"/>
          <w:i/>
          <w:sz w:val="22"/>
          <w:szCs w:val="22"/>
        </w:rPr>
        <w:t xml:space="preserve"> 118, ¿operan </w:t>
      </w:r>
      <w:r w:rsidR="007B1E16" w:rsidRPr="004B743F">
        <w:rPr>
          <w:rFonts w:ascii="Bookman Old Style" w:hAnsi="Bookman Old Style"/>
          <w:i/>
          <w:sz w:val="22"/>
          <w:szCs w:val="22"/>
        </w:rPr>
        <w:t>ex</w:t>
      </w:r>
      <w:r w:rsidRPr="004B743F">
        <w:rPr>
          <w:rFonts w:ascii="Bookman Old Style" w:hAnsi="Bookman Old Style"/>
          <w:i/>
          <w:sz w:val="22"/>
          <w:szCs w:val="22"/>
        </w:rPr>
        <w:t xml:space="preserve"> </w:t>
      </w:r>
      <w:proofErr w:type="spellStart"/>
      <w:r w:rsidRPr="004B743F">
        <w:rPr>
          <w:rFonts w:ascii="Bookman Old Style" w:hAnsi="Bookman Old Style"/>
          <w:i/>
          <w:sz w:val="22"/>
          <w:szCs w:val="22"/>
        </w:rPr>
        <w:t>novo</w:t>
      </w:r>
      <w:proofErr w:type="spellEnd"/>
      <w:r w:rsidRPr="004B743F">
        <w:rPr>
          <w:rFonts w:ascii="Bookman Old Style" w:hAnsi="Bookman Old Style"/>
          <w:i/>
          <w:sz w:val="22"/>
          <w:szCs w:val="22"/>
        </w:rPr>
        <w:t xml:space="preserve">, con </w:t>
      </w:r>
      <w:r w:rsidR="007B1E16" w:rsidRPr="004B743F">
        <w:rPr>
          <w:rFonts w:ascii="Bookman Old Style" w:hAnsi="Bookman Old Style"/>
          <w:i/>
          <w:sz w:val="22"/>
          <w:szCs w:val="22"/>
        </w:rPr>
        <w:t>respecto al</w:t>
      </w:r>
      <w:r w:rsidRPr="004B743F">
        <w:rPr>
          <w:rFonts w:ascii="Bookman Old Style" w:hAnsi="Bookman Old Style"/>
          <w:i/>
          <w:sz w:val="22"/>
          <w:szCs w:val="22"/>
        </w:rPr>
        <w:t xml:space="preserve"> </w:t>
      </w:r>
      <w:r w:rsidR="007B1E16" w:rsidRPr="004B743F">
        <w:rPr>
          <w:rFonts w:ascii="Bookman Old Style" w:hAnsi="Bookman Old Style"/>
          <w:i/>
          <w:sz w:val="22"/>
          <w:szCs w:val="22"/>
        </w:rPr>
        <w:lastRenderedPageBreak/>
        <w:t>mism</w:t>
      </w:r>
      <w:r w:rsidRPr="004B743F">
        <w:rPr>
          <w:rFonts w:ascii="Bookman Old Style" w:hAnsi="Bookman Old Style"/>
          <w:i/>
          <w:sz w:val="22"/>
          <w:szCs w:val="22"/>
        </w:rPr>
        <w:t>o</w:t>
      </w:r>
      <w:r w:rsidR="007B1E16" w:rsidRPr="004B743F">
        <w:rPr>
          <w:rFonts w:ascii="Bookman Old Style" w:hAnsi="Bookman Old Style"/>
          <w:i/>
          <w:sz w:val="22"/>
          <w:szCs w:val="22"/>
        </w:rPr>
        <w:t xml:space="preserve"> contratista, o por el contrario</w:t>
      </w:r>
      <w:r w:rsidRPr="004B743F">
        <w:rPr>
          <w:rFonts w:ascii="Bookman Old Style" w:hAnsi="Bookman Old Style"/>
          <w:i/>
          <w:sz w:val="22"/>
          <w:szCs w:val="22"/>
        </w:rPr>
        <w:t xml:space="preserve">, el importe dé los </w:t>
      </w:r>
      <w:r w:rsidR="007B1E16" w:rsidRPr="004B743F">
        <w:rPr>
          <w:rFonts w:ascii="Bookman Old Style" w:hAnsi="Bookman Old Style"/>
          <w:i/>
          <w:sz w:val="22"/>
          <w:szCs w:val="22"/>
        </w:rPr>
        <w:t>contratos</w:t>
      </w:r>
      <w:r w:rsidRPr="004B743F">
        <w:rPr>
          <w:rFonts w:ascii="Bookman Old Style" w:hAnsi="Bookman Old Style"/>
          <w:i/>
          <w:sz w:val="22"/>
          <w:szCs w:val="22"/>
        </w:rPr>
        <w:t xml:space="preserve"> </w:t>
      </w:r>
      <w:r w:rsidR="007B1E16" w:rsidRPr="004B743F">
        <w:rPr>
          <w:rFonts w:ascii="Bookman Old Style" w:hAnsi="Bookman Old Style"/>
          <w:i/>
          <w:sz w:val="22"/>
          <w:szCs w:val="22"/>
        </w:rPr>
        <w:t>celebrados</w:t>
      </w:r>
      <w:r w:rsidRPr="004B743F">
        <w:rPr>
          <w:rFonts w:ascii="Bookman Old Style" w:hAnsi="Bookman Old Style"/>
          <w:i/>
          <w:sz w:val="22"/>
          <w:szCs w:val="22"/>
        </w:rPr>
        <w:t xml:space="preserve"> al amparo</w:t>
      </w:r>
      <w:r w:rsidR="007B1E16" w:rsidRPr="004B743F">
        <w:rPr>
          <w:rFonts w:ascii="Bookman Old Style" w:hAnsi="Bookman Old Style"/>
          <w:i/>
          <w:sz w:val="22"/>
          <w:szCs w:val="22"/>
        </w:rPr>
        <w:t xml:space="preserve"> </w:t>
      </w:r>
      <w:r w:rsidRPr="004B743F">
        <w:rPr>
          <w:rFonts w:ascii="Bookman Old Style" w:hAnsi="Bookman Old Style"/>
          <w:i/>
          <w:sz w:val="22"/>
          <w:szCs w:val="22"/>
        </w:rPr>
        <w:t>de la normativa anterior, debe ser t</w:t>
      </w:r>
      <w:r w:rsidR="007B1E16" w:rsidRPr="004B743F">
        <w:rPr>
          <w:rFonts w:ascii="Bookman Old Style" w:hAnsi="Bookman Old Style"/>
          <w:i/>
          <w:sz w:val="22"/>
          <w:szCs w:val="22"/>
        </w:rPr>
        <w:t>enido en cuenta a los efectos de</w:t>
      </w:r>
      <w:r w:rsidRPr="004B743F">
        <w:rPr>
          <w:rFonts w:ascii="Bookman Old Style" w:hAnsi="Bookman Old Style"/>
          <w:i/>
          <w:sz w:val="22"/>
          <w:szCs w:val="22"/>
        </w:rPr>
        <w:t xml:space="preserve"> </w:t>
      </w:r>
      <w:r w:rsidR="007B1E16" w:rsidRPr="004B743F">
        <w:rPr>
          <w:rFonts w:ascii="Bookman Old Style" w:hAnsi="Bookman Old Style"/>
          <w:i/>
          <w:sz w:val="22"/>
          <w:szCs w:val="22"/>
        </w:rPr>
        <w:t xml:space="preserve">los límites </w:t>
      </w:r>
      <w:r w:rsidRPr="004B743F">
        <w:rPr>
          <w:rFonts w:ascii="Bookman Old Style" w:hAnsi="Bookman Old Style"/>
          <w:i/>
          <w:sz w:val="22"/>
          <w:szCs w:val="22"/>
        </w:rPr>
        <w:t xml:space="preserve">cuantitativos establecidos en </w:t>
      </w:r>
      <w:r w:rsidR="007B1E16" w:rsidRPr="004B743F">
        <w:rPr>
          <w:rFonts w:ascii="Bookman Old Style" w:hAnsi="Bookman Old Style"/>
          <w:i/>
          <w:sz w:val="22"/>
          <w:szCs w:val="22"/>
        </w:rPr>
        <w:t>la nueva</w:t>
      </w:r>
      <w:r w:rsidRPr="004B743F">
        <w:rPr>
          <w:rFonts w:ascii="Bookman Old Style" w:hAnsi="Bookman Old Style"/>
          <w:i/>
          <w:sz w:val="22"/>
          <w:szCs w:val="22"/>
        </w:rPr>
        <w:t xml:space="preserve"> normativa?</w:t>
      </w:r>
    </w:p>
    <w:p w:rsidR="00E9232A" w:rsidRPr="004B743F" w:rsidRDefault="00E9232A" w:rsidP="003C6F8F">
      <w:pPr>
        <w:spacing w:line="276" w:lineRule="auto"/>
        <w:jc w:val="both"/>
        <w:rPr>
          <w:rFonts w:ascii="Bookman Old Style" w:hAnsi="Bookman Old Style"/>
          <w:sz w:val="22"/>
          <w:szCs w:val="22"/>
        </w:rPr>
      </w:pPr>
    </w:p>
    <w:p w:rsidR="00E9232A" w:rsidRPr="004B743F" w:rsidRDefault="00E9232A" w:rsidP="003C6F8F">
      <w:pPr>
        <w:spacing w:line="276" w:lineRule="auto"/>
        <w:jc w:val="both"/>
        <w:rPr>
          <w:rFonts w:ascii="Bookman Old Style" w:hAnsi="Bookman Old Style"/>
          <w:sz w:val="22"/>
          <w:szCs w:val="22"/>
        </w:rPr>
      </w:pPr>
    </w:p>
    <w:p w:rsidR="003C6F8F" w:rsidRPr="004B743F" w:rsidRDefault="003C6F8F" w:rsidP="003C6F8F">
      <w:pPr>
        <w:spacing w:line="276" w:lineRule="auto"/>
        <w:jc w:val="both"/>
        <w:rPr>
          <w:rFonts w:ascii="Bookman Old Style" w:hAnsi="Bookman Old Style"/>
          <w:sz w:val="22"/>
          <w:szCs w:val="22"/>
        </w:rPr>
      </w:pPr>
    </w:p>
    <w:p w:rsidR="003C6F8F" w:rsidRPr="004B743F" w:rsidRDefault="003C6F8F" w:rsidP="003C6F8F">
      <w:pPr>
        <w:spacing w:line="276" w:lineRule="auto"/>
        <w:jc w:val="both"/>
        <w:rPr>
          <w:rFonts w:ascii="Bookman Old Style" w:hAnsi="Bookman Old Style"/>
          <w:sz w:val="22"/>
          <w:szCs w:val="22"/>
        </w:rPr>
      </w:pPr>
    </w:p>
    <w:p w:rsidR="007B1E16" w:rsidRPr="004B743F" w:rsidRDefault="007B1E16" w:rsidP="000E4C88">
      <w:pPr>
        <w:spacing w:line="276" w:lineRule="auto"/>
        <w:jc w:val="center"/>
        <w:rPr>
          <w:rFonts w:ascii="Bookman Old Style" w:hAnsi="Bookman Old Style"/>
          <w:b/>
          <w:sz w:val="22"/>
          <w:szCs w:val="22"/>
        </w:rPr>
      </w:pPr>
      <w:r w:rsidRPr="004B743F">
        <w:rPr>
          <w:rFonts w:ascii="Bookman Old Style" w:hAnsi="Bookman Old Style"/>
          <w:b/>
          <w:sz w:val="22"/>
          <w:szCs w:val="22"/>
        </w:rPr>
        <w:t>CONSIDERACIONES JURÍDICAS</w:t>
      </w:r>
    </w:p>
    <w:p w:rsidR="007B1E16" w:rsidRPr="004B743F" w:rsidRDefault="007B1E16" w:rsidP="000E4C88">
      <w:pPr>
        <w:spacing w:line="276" w:lineRule="auto"/>
        <w:jc w:val="center"/>
        <w:rPr>
          <w:rFonts w:ascii="Bookman Old Style" w:hAnsi="Bookman Old Style"/>
          <w:b/>
          <w:sz w:val="22"/>
          <w:szCs w:val="22"/>
        </w:rPr>
      </w:pPr>
    </w:p>
    <w:p w:rsidR="007B1E16" w:rsidRPr="004B743F" w:rsidRDefault="007B1E16" w:rsidP="000E4C88">
      <w:pPr>
        <w:spacing w:line="276" w:lineRule="auto"/>
        <w:jc w:val="center"/>
        <w:rPr>
          <w:rFonts w:ascii="Bookman Old Style" w:hAnsi="Bookman Old Style"/>
          <w:b/>
          <w:sz w:val="22"/>
          <w:szCs w:val="22"/>
        </w:rPr>
      </w:pPr>
    </w:p>
    <w:p w:rsidR="007B1E16" w:rsidRPr="004B743F" w:rsidRDefault="007B1E16" w:rsidP="007B1E16">
      <w:pPr>
        <w:spacing w:line="276" w:lineRule="auto"/>
        <w:jc w:val="both"/>
        <w:rPr>
          <w:rFonts w:ascii="Bookman Old Style" w:hAnsi="Bookman Old Style"/>
          <w:sz w:val="22"/>
          <w:szCs w:val="22"/>
        </w:rPr>
      </w:pPr>
      <w:r w:rsidRPr="004B743F">
        <w:rPr>
          <w:rFonts w:ascii="Bookman Old Style" w:hAnsi="Bookman Old Style"/>
          <w:sz w:val="22"/>
          <w:szCs w:val="22"/>
        </w:rPr>
        <w:t xml:space="preserve">1. La Diputación de Almería consulta a esta Junta Consultiva de Contratación Pública del Estado en relación </w:t>
      </w:r>
      <w:r w:rsidR="00503937" w:rsidRPr="004B743F">
        <w:rPr>
          <w:rFonts w:ascii="Bookman Old Style" w:hAnsi="Bookman Old Style"/>
          <w:sz w:val="22"/>
          <w:szCs w:val="22"/>
        </w:rPr>
        <w:t>con el</w:t>
      </w:r>
      <w:r w:rsidRPr="004B743F">
        <w:rPr>
          <w:rFonts w:ascii="Bookman Old Style" w:hAnsi="Bookman Old Style"/>
          <w:sz w:val="22"/>
          <w:szCs w:val="22"/>
        </w:rPr>
        <w:t xml:space="preserve"> cómputo del plazo de limitación para la utilización de los contratos menores</w:t>
      </w:r>
      <w:r w:rsidR="00503937" w:rsidRPr="004B743F">
        <w:rPr>
          <w:rFonts w:ascii="Bookman Old Style" w:hAnsi="Bookman Old Style"/>
          <w:sz w:val="22"/>
          <w:szCs w:val="22"/>
        </w:rPr>
        <w:t>. El artículo 118 de la Ley 9/2017, de 8 de noviembre, de Contratos del Sector Público establece a este efecto lo siguiente:</w:t>
      </w:r>
    </w:p>
    <w:p w:rsidR="00503937" w:rsidRPr="004B743F" w:rsidRDefault="00503937" w:rsidP="007B1E16">
      <w:pPr>
        <w:spacing w:line="276" w:lineRule="auto"/>
        <w:jc w:val="both"/>
        <w:rPr>
          <w:rFonts w:ascii="Bookman Old Style" w:hAnsi="Bookman Old Style"/>
          <w:sz w:val="22"/>
          <w:szCs w:val="22"/>
        </w:rPr>
      </w:pPr>
    </w:p>
    <w:p w:rsidR="00503937" w:rsidRPr="004B743F" w:rsidRDefault="00503937" w:rsidP="00503937">
      <w:pPr>
        <w:spacing w:line="276" w:lineRule="auto"/>
        <w:ind w:left="1134" w:right="566"/>
        <w:jc w:val="both"/>
        <w:rPr>
          <w:rFonts w:ascii="Bookman Old Style" w:hAnsi="Bookman Old Style"/>
          <w:i/>
          <w:sz w:val="22"/>
          <w:szCs w:val="22"/>
        </w:rPr>
      </w:pPr>
      <w:r w:rsidRPr="004B743F">
        <w:rPr>
          <w:rFonts w:ascii="Bookman Old Style" w:hAnsi="Bookman Old Style"/>
          <w:i/>
          <w:sz w:val="22"/>
          <w:szCs w:val="22"/>
        </w:rPr>
        <w:t>“1. Se consideran contratos menores los contratos de valor estimado inferior a 40.000 euros, cuando se trate de contratos de obras, o a 15.000 euros, cuando se trate de contratos de suministro o de servicios, sin perjuicio de lo dispuesto en el artículo 229 en relación con las obras, servicios y suministros centralizados en el ámbito estatal.</w:t>
      </w:r>
    </w:p>
    <w:p w:rsidR="00503937" w:rsidRPr="004B743F" w:rsidRDefault="00503937" w:rsidP="00503937">
      <w:pPr>
        <w:spacing w:line="276" w:lineRule="auto"/>
        <w:ind w:left="1134" w:right="566"/>
        <w:jc w:val="both"/>
        <w:rPr>
          <w:rFonts w:ascii="Bookman Old Style" w:hAnsi="Bookman Old Style"/>
          <w:i/>
          <w:sz w:val="22"/>
          <w:szCs w:val="22"/>
        </w:rPr>
      </w:pPr>
      <w:r w:rsidRPr="004B743F">
        <w:rPr>
          <w:rFonts w:ascii="Bookman Old Style" w:hAnsi="Bookman Old Style"/>
          <w:i/>
          <w:sz w:val="22"/>
          <w:szCs w:val="22"/>
        </w:rPr>
        <w:t>En los contratos menores la tramitación del expediente exigirá el informe del órgano de contratación motivando la necesidad del contrato. Asimismo se requerirá la aprobación del gasto y la incorporación al mismo de la factura correspondiente, que deberá reunir los requisitos que las normas de desarrollo de esta Ley establezcan.</w:t>
      </w:r>
    </w:p>
    <w:p w:rsidR="00503937" w:rsidRPr="004B743F" w:rsidRDefault="00503937" w:rsidP="00503937">
      <w:pPr>
        <w:spacing w:line="276" w:lineRule="auto"/>
        <w:ind w:left="1134" w:right="566"/>
        <w:jc w:val="both"/>
        <w:rPr>
          <w:rFonts w:ascii="Bookman Old Style" w:hAnsi="Bookman Old Style"/>
          <w:i/>
          <w:sz w:val="22"/>
          <w:szCs w:val="22"/>
        </w:rPr>
      </w:pPr>
      <w:r w:rsidRPr="004B743F">
        <w:rPr>
          <w:rFonts w:ascii="Bookman Old Style" w:hAnsi="Bookman Old Style"/>
          <w:i/>
          <w:sz w:val="22"/>
          <w:szCs w:val="22"/>
        </w:rPr>
        <w:t>2. En el contrato menor de obras, deberá añadirse, además, el presupuesto de las obras, sin perjuicio de que deba existir el correspondiente proyecto cuando normas específicas así lo requieran. Deberá igualmente solicitarse el informe de las oficinas o unidades de supervisión a que se refiere el artículo 235 cuando el trabajo afecte a la estabilidad, seguridad o estanqueidad de la obra.</w:t>
      </w:r>
    </w:p>
    <w:p w:rsidR="00503937" w:rsidRPr="004B743F" w:rsidRDefault="00503937" w:rsidP="00503937">
      <w:pPr>
        <w:spacing w:line="276" w:lineRule="auto"/>
        <w:ind w:left="1134" w:right="566"/>
        <w:jc w:val="both"/>
        <w:rPr>
          <w:rFonts w:ascii="Bookman Old Style" w:hAnsi="Bookman Old Style"/>
          <w:i/>
          <w:sz w:val="22"/>
          <w:szCs w:val="22"/>
        </w:rPr>
      </w:pPr>
      <w:r w:rsidRPr="004B743F">
        <w:rPr>
          <w:rFonts w:ascii="Bookman Old Style" w:hAnsi="Bookman Old Style"/>
          <w:i/>
          <w:sz w:val="22"/>
          <w:szCs w:val="22"/>
        </w:rPr>
        <w:t>3. En el expediente se justificará que no se está alterando el objeto del contrato para evitar la aplicación de las reglas generales de contratación, y que el contratista no ha suscrito más contratos menores que individual o conjuntamente superen la cifra que consta en el apartado primero de este artículo. El órgano de contratación comprobará el cumplimiento de dicha regla. Quedan excluidos los supuestos encuadrados en el artículo 168.a).2</w:t>
      </w:r>
      <w:proofErr w:type="gramStart"/>
      <w:r w:rsidRPr="004B743F">
        <w:rPr>
          <w:rFonts w:ascii="Bookman Old Style" w:hAnsi="Bookman Old Style"/>
          <w:i/>
          <w:sz w:val="22"/>
          <w:szCs w:val="22"/>
        </w:rPr>
        <w:t>.º</w:t>
      </w:r>
      <w:proofErr w:type="gramEnd"/>
    </w:p>
    <w:p w:rsidR="00503937" w:rsidRPr="004B743F" w:rsidRDefault="00503937" w:rsidP="00503937">
      <w:pPr>
        <w:spacing w:line="276" w:lineRule="auto"/>
        <w:ind w:left="1134" w:right="566"/>
        <w:jc w:val="both"/>
        <w:rPr>
          <w:rFonts w:ascii="Bookman Old Style" w:hAnsi="Bookman Old Style"/>
          <w:i/>
          <w:sz w:val="22"/>
          <w:szCs w:val="22"/>
        </w:rPr>
      </w:pPr>
      <w:r w:rsidRPr="004B743F">
        <w:rPr>
          <w:rFonts w:ascii="Bookman Old Style" w:hAnsi="Bookman Old Style"/>
          <w:i/>
          <w:sz w:val="22"/>
          <w:szCs w:val="22"/>
        </w:rPr>
        <w:lastRenderedPageBreak/>
        <w:t>4. Los contratos menores se publicarán en la forma prevista en el artículo 63.4.</w:t>
      </w:r>
    </w:p>
    <w:p w:rsidR="007B1E16" w:rsidRPr="004B743F" w:rsidRDefault="007B1E16" w:rsidP="000E4C88">
      <w:pPr>
        <w:spacing w:line="276" w:lineRule="auto"/>
        <w:jc w:val="center"/>
        <w:rPr>
          <w:rFonts w:ascii="Bookman Old Style" w:hAnsi="Bookman Old Style"/>
          <w:b/>
          <w:sz w:val="22"/>
          <w:szCs w:val="22"/>
        </w:rPr>
      </w:pPr>
    </w:p>
    <w:p w:rsidR="00503937" w:rsidRPr="004B743F" w:rsidRDefault="00503937" w:rsidP="000E4C88">
      <w:pPr>
        <w:spacing w:line="276" w:lineRule="auto"/>
        <w:jc w:val="center"/>
        <w:rPr>
          <w:rFonts w:ascii="Bookman Old Style" w:hAnsi="Bookman Old Style"/>
          <w:b/>
          <w:sz w:val="22"/>
          <w:szCs w:val="22"/>
        </w:rPr>
      </w:pPr>
    </w:p>
    <w:p w:rsidR="00503937" w:rsidRPr="004B743F" w:rsidRDefault="00503937" w:rsidP="00503937">
      <w:pPr>
        <w:spacing w:line="276" w:lineRule="auto"/>
        <w:jc w:val="both"/>
        <w:rPr>
          <w:rFonts w:ascii="Bookman Old Style" w:hAnsi="Bookman Old Style"/>
          <w:sz w:val="22"/>
          <w:szCs w:val="22"/>
        </w:rPr>
      </w:pPr>
      <w:r w:rsidRPr="004B743F">
        <w:rPr>
          <w:rFonts w:ascii="Bookman Old Style" w:hAnsi="Bookman Old Style"/>
          <w:sz w:val="22"/>
          <w:szCs w:val="22"/>
        </w:rPr>
        <w:t>El apartado tercero del precepto establece una limitación que ha sido interpretada desde el punto de vista de sus efectos temporales por esta Junta Consultiva de Contratación Pública del Estado en nuestro informe 41/2017 en el que señalamos que por lo que hace al límite temporal de estas condiciones parece razonable que si entendemos la conducta prohibida por el precepto en términos flexibles valoremos la posible existencia de un límite temporal para evitar que la prohibición, y la necesidad de justificación en el expediente que anuda, pueda considerarse indefinida.</w:t>
      </w:r>
    </w:p>
    <w:p w:rsidR="00503937" w:rsidRPr="004B743F" w:rsidRDefault="00503937" w:rsidP="00503937">
      <w:pPr>
        <w:spacing w:line="276" w:lineRule="auto"/>
        <w:jc w:val="both"/>
        <w:rPr>
          <w:rFonts w:ascii="Bookman Old Style" w:hAnsi="Bookman Old Style"/>
          <w:sz w:val="22"/>
          <w:szCs w:val="22"/>
        </w:rPr>
      </w:pPr>
    </w:p>
    <w:p w:rsidR="00503937" w:rsidRPr="004B743F" w:rsidRDefault="00503937" w:rsidP="00503937">
      <w:pPr>
        <w:spacing w:line="276" w:lineRule="auto"/>
        <w:jc w:val="both"/>
        <w:rPr>
          <w:rFonts w:ascii="Bookman Old Style" w:hAnsi="Bookman Old Style"/>
          <w:sz w:val="22"/>
          <w:szCs w:val="22"/>
        </w:rPr>
      </w:pPr>
      <w:r w:rsidRPr="004B743F">
        <w:rPr>
          <w:rFonts w:ascii="Bookman Old Style" w:hAnsi="Bookman Old Style"/>
          <w:sz w:val="22"/>
          <w:szCs w:val="22"/>
        </w:rPr>
        <w:t>Pues bien, tal límite temporal debe ser el que la propia ley marca en el artículo 29 respecto de la duración de los contratos menores. De esta manera, por encima de este periodo de un año la prevención que se establece en la norma resultaría inaplicable fuera de los supuestos en que, a pesar del tiempo transcurrido, existiese un auténtico fraude. Este supuesto es técnicamente posible, aunque difícil de plantearse en la práctica como consecuencia de la separación temporal entre los distintos contratos menores. Bajo este criterio, por tanto, si la separación entre los contratos menores excede de un año no será necesario justificar en el expediente la inexistencia de un contrato menor con el mismo objeto.</w:t>
      </w:r>
    </w:p>
    <w:p w:rsidR="00503937" w:rsidRPr="004B743F" w:rsidRDefault="00503937" w:rsidP="00503937">
      <w:pPr>
        <w:spacing w:line="276" w:lineRule="auto"/>
        <w:jc w:val="both"/>
        <w:rPr>
          <w:rFonts w:ascii="Bookman Old Style" w:hAnsi="Bookman Old Style"/>
          <w:sz w:val="22"/>
          <w:szCs w:val="22"/>
        </w:rPr>
      </w:pPr>
    </w:p>
    <w:p w:rsidR="00503937" w:rsidRPr="004B743F" w:rsidRDefault="00503937" w:rsidP="00503937">
      <w:pPr>
        <w:spacing w:line="276" w:lineRule="auto"/>
        <w:jc w:val="both"/>
        <w:rPr>
          <w:rFonts w:ascii="Bookman Old Style" w:hAnsi="Bookman Old Style"/>
          <w:sz w:val="22"/>
          <w:szCs w:val="22"/>
        </w:rPr>
      </w:pPr>
      <w:r w:rsidRPr="004B743F">
        <w:rPr>
          <w:rFonts w:ascii="Bookman Old Style" w:hAnsi="Bookman Old Style"/>
          <w:sz w:val="22"/>
          <w:szCs w:val="22"/>
        </w:rPr>
        <w:t>Finalmente, cabe señalar que este plazo debe contarse desde el momento de la perfección del primer contrato menor considerado. En la medida en que la ley no contempla otro trámite que la incorporación de la factura al expediente en el mismo artículo 118, este es el momento a considerar como término de cómputo inicial. Otra opción, como el cómputo por año natural no tendría mucho sentido para los contratos ejecutados al final del mismo y se trataría de una opción convencional y menos segura jurídicamente.</w:t>
      </w:r>
    </w:p>
    <w:p w:rsidR="00503937" w:rsidRPr="004B743F" w:rsidRDefault="00503937" w:rsidP="00503937">
      <w:pPr>
        <w:spacing w:line="276" w:lineRule="auto"/>
        <w:jc w:val="both"/>
        <w:rPr>
          <w:rFonts w:ascii="Bookman Old Style" w:hAnsi="Bookman Old Style"/>
          <w:sz w:val="22"/>
          <w:szCs w:val="22"/>
        </w:rPr>
      </w:pPr>
    </w:p>
    <w:p w:rsidR="00503937" w:rsidRPr="004B743F" w:rsidRDefault="00503937" w:rsidP="00503937">
      <w:pPr>
        <w:spacing w:line="276" w:lineRule="auto"/>
        <w:jc w:val="both"/>
        <w:rPr>
          <w:rFonts w:ascii="Bookman Old Style" w:hAnsi="Bookman Old Style"/>
          <w:sz w:val="22"/>
          <w:szCs w:val="22"/>
        </w:rPr>
      </w:pPr>
      <w:r w:rsidRPr="004B743F">
        <w:rPr>
          <w:rFonts w:ascii="Bookman Old Style" w:hAnsi="Bookman Old Style"/>
          <w:sz w:val="22"/>
          <w:szCs w:val="22"/>
        </w:rPr>
        <w:t xml:space="preserve">2. </w:t>
      </w:r>
      <w:r w:rsidR="00ED5688" w:rsidRPr="004B743F">
        <w:rPr>
          <w:rFonts w:ascii="Bookman Old Style" w:hAnsi="Bookman Old Style"/>
          <w:sz w:val="22"/>
          <w:szCs w:val="22"/>
        </w:rPr>
        <w:t>Interpretada la restricción que contiene el artículo 118.3 en los términos expuestos, no como una prohibición absoluta sino únicamente relativa a la utilización fraudulenta de la figura del contrato menor, el periodo de un año a que se extiende la limitación temporal aludida también puede contarse hacia atrás en el tiempo desde la fecha en que se celebre el primer contrato menor conforme a la Ley 9/2017, de 8 de noviembre, de Contratos del Sector Público.</w:t>
      </w:r>
    </w:p>
    <w:p w:rsidR="00ED5688" w:rsidRPr="004B743F" w:rsidRDefault="00ED5688" w:rsidP="00503937">
      <w:pPr>
        <w:spacing w:line="276" w:lineRule="auto"/>
        <w:jc w:val="both"/>
        <w:rPr>
          <w:rFonts w:ascii="Bookman Old Style" w:hAnsi="Bookman Old Style"/>
          <w:sz w:val="22"/>
          <w:szCs w:val="22"/>
        </w:rPr>
      </w:pPr>
    </w:p>
    <w:p w:rsidR="00ED5688" w:rsidRPr="004B743F" w:rsidRDefault="00ED5688" w:rsidP="00503937">
      <w:pPr>
        <w:spacing w:line="276" w:lineRule="auto"/>
        <w:jc w:val="both"/>
        <w:rPr>
          <w:rFonts w:ascii="Bookman Old Style" w:hAnsi="Bookman Old Style"/>
          <w:sz w:val="22"/>
          <w:szCs w:val="22"/>
        </w:rPr>
      </w:pPr>
      <w:r w:rsidRPr="004B743F">
        <w:rPr>
          <w:rFonts w:ascii="Bookman Old Style" w:hAnsi="Bookman Old Style"/>
          <w:sz w:val="22"/>
          <w:szCs w:val="22"/>
        </w:rPr>
        <w:t>No se trata</w:t>
      </w:r>
      <w:r w:rsidR="004B743F">
        <w:rPr>
          <w:rFonts w:ascii="Bookman Old Style" w:hAnsi="Bookman Old Style"/>
          <w:sz w:val="22"/>
          <w:szCs w:val="22"/>
        </w:rPr>
        <w:t xml:space="preserve"> con ello</w:t>
      </w:r>
      <w:r w:rsidRPr="004B743F">
        <w:rPr>
          <w:rFonts w:ascii="Bookman Old Style" w:hAnsi="Bookman Old Style"/>
          <w:sz w:val="22"/>
          <w:szCs w:val="22"/>
        </w:rPr>
        <w:t xml:space="preserve"> </w:t>
      </w:r>
      <w:r w:rsidR="004B743F">
        <w:rPr>
          <w:rFonts w:ascii="Bookman Old Style" w:hAnsi="Bookman Old Style"/>
          <w:sz w:val="22"/>
          <w:szCs w:val="22"/>
        </w:rPr>
        <w:t>de</w:t>
      </w:r>
      <w:r w:rsidRPr="004B743F">
        <w:rPr>
          <w:rFonts w:ascii="Bookman Old Style" w:hAnsi="Bookman Old Style"/>
          <w:sz w:val="22"/>
          <w:szCs w:val="22"/>
        </w:rPr>
        <w:t xml:space="preserve"> otorgar efectos retroactivos a la disposición legal nueva, porque tal circunstancia acaecería si se obligase a que la norma produjese efectos </w:t>
      </w:r>
      <w:r w:rsidRPr="004B743F">
        <w:rPr>
          <w:rFonts w:ascii="Bookman Old Style" w:hAnsi="Bookman Old Style"/>
          <w:sz w:val="22"/>
          <w:szCs w:val="22"/>
        </w:rPr>
        <w:lastRenderedPageBreak/>
        <w:t>limitativos sobre el contrato menor ejecutado durante la vigencia de la ley anterior, cosa por demás imposible en la medida en que previsiblemente tal contrato menor ya estaría ejecutado y finalizado. De lo que realmente se trata es de garantizar el efecto de la norma sobre el contrato sujeto a la nueva regulación, para lo cual, sin afectar en modo alguno al contrato precedente, éste es tenido en consideración a los efectos de valorar si con el contrato nuevo se puede haber vulnerado la prohibición que contempla el artículo 118 de la nueva ley.</w:t>
      </w:r>
    </w:p>
    <w:p w:rsidR="0019212C" w:rsidRPr="004B743F" w:rsidRDefault="0019212C" w:rsidP="00503937">
      <w:pPr>
        <w:spacing w:line="276" w:lineRule="auto"/>
        <w:jc w:val="both"/>
        <w:rPr>
          <w:rFonts w:ascii="Bookman Old Style" w:hAnsi="Bookman Old Style"/>
          <w:sz w:val="22"/>
          <w:szCs w:val="22"/>
        </w:rPr>
      </w:pPr>
    </w:p>
    <w:p w:rsidR="0019212C" w:rsidRPr="004B743F" w:rsidRDefault="0019212C" w:rsidP="00503937">
      <w:pPr>
        <w:spacing w:line="276" w:lineRule="auto"/>
        <w:jc w:val="both"/>
        <w:rPr>
          <w:rFonts w:ascii="Bookman Old Style" w:hAnsi="Bookman Old Style"/>
          <w:sz w:val="22"/>
          <w:szCs w:val="22"/>
        </w:rPr>
      </w:pPr>
      <w:r w:rsidRPr="004B743F">
        <w:rPr>
          <w:rFonts w:ascii="Bookman Old Style" w:hAnsi="Bookman Old Style"/>
          <w:sz w:val="22"/>
          <w:szCs w:val="22"/>
        </w:rPr>
        <w:t>Por lo tanto, no se puede decir que la nueva ley se aplique a un contrato menor regido por la ley precedente sino que dicho contrato se emplea como antecedente necesario para verificar si en el nuevo contrato se cumplen las condiciones impuestas por la nueva ley.</w:t>
      </w:r>
    </w:p>
    <w:p w:rsidR="0019212C" w:rsidRPr="004B743F" w:rsidRDefault="0019212C" w:rsidP="00503937">
      <w:pPr>
        <w:spacing w:line="276" w:lineRule="auto"/>
        <w:jc w:val="both"/>
        <w:rPr>
          <w:rFonts w:ascii="Bookman Old Style" w:hAnsi="Bookman Old Style"/>
          <w:sz w:val="22"/>
          <w:szCs w:val="22"/>
        </w:rPr>
      </w:pPr>
    </w:p>
    <w:p w:rsidR="0019212C" w:rsidRPr="004B743F" w:rsidRDefault="0019212C" w:rsidP="00503937">
      <w:pPr>
        <w:spacing w:line="276" w:lineRule="auto"/>
        <w:jc w:val="both"/>
        <w:rPr>
          <w:rFonts w:ascii="Bookman Old Style" w:hAnsi="Bookman Old Style"/>
          <w:sz w:val="22"/>
          <w:szCs w:val="22"/>
        </w:rPr>
      </w:pPr>
      <w:r w:rsidRPr="004B743F">
        <w:rPr>
          <w:rFonts w:ascii="Bookman Old Style" w:hAnsi="Bookman Old Style"/>
          <w:sz w:val="22"/>
          <w:szCs w:val="22"/>
        </w:rPr>
        <w:t xml:space="preserve">3. Teniendo en cuenta, en congruencia con lo expuesto en el expositivo anterior, que para los contratos menores que se celebren una vez producida la entrada en vigor de la Ley 9/2017, de 8 de noviembre, de Contratos del Sector Público es menester incluir un análisis específico en el que se justificará que no se está alterando el objeto del contrato para evitar la aplicación de las reglas generales de contratación, y que el contratista no ha suscrito más contratos menores que individual o conjuntamente superen el umbral de los contratos menores, y que el órgano de contratación deberá comprobar el cumplimiento de esta condición, cabe suponer que la limitación descrita debe valorarse teniendo en cuenta los contratos menores realizados conforme a la normativa </w:t>
      </w:r>
      <w:r w:rsidR="004B743F">
        <w:rPr>
          <w:rFonts w:ascii="Bookman Old Style" w:hAnsi="Bookman Old Style"/>
          <w:sz w:val="22"/>
          <w:szCs w:val="22"/>
        </w:rPr>
        <w:t>precedente</w:t>
      </w:r>
      <w:r w:rsidRPr="004B743F">
        <w:rPr>
          <w:rFonts w:ascii="Bookman Old Style" w:hAnsi="Bookman Old Style"/>
          <w:sz w:val="22"/>
          <w:szCs w:val="22"/>
        </w:rPr>
        <w:t xml:space="preserve"> en el plazo del año inmediatamente anterior a la celebración del nuevo contrato que ya está sujeto a la ley de 2017. Otra solución supondría el incumplimiento de la finalidad del precepto y una merma de la seguridad jurídica que ha tratado de garantizar el legislador.</w:t>
      </w:r>
    </w:p>
    <w:p w:rsidR="00503937" w:rsidRPr="004B743F" w:rsidRDefault="00503937" w:rsidP="00503937">
      <w:pPr>
        <w:spacing w:line="276" w:lineRule="auto"/>
        <w:jc w:val="both"/>
        <w:rPr>
          <w:rFonts w:ascii="Bookman Old Style" w:hAnsi="Bookman Old Style"/>
          <w:sz w:val="22"/>
          <w:szCs w:val="22"/>
        </w:rPr>
      </w:pPr>
    </w:p>
    <w:p w:rsidR="00503937" w:rsidRPr="004B743F" w:rsidRDefault="00503937" w:rsidP="00503937">
      <w:pPr>
        <w:spacing w:line="276" w:lineRule="auto"/>
        <w:jc w:val="both"/>
        <w:rPr>
          <w:rFonts w:ascii="Bookman Old Style" w:hAnsi="Bookman Old Style"/>
          <w:sz w:val="22"/>
          <w:szCs w:val="22"/>
        </w:rPr>
      </w:pPr>
    </w:p>
    <w:p w:rsidR="00503937" w:rsidRPr="004B743F" w:rsidRDefault="00503937" w:rsidP="00503937">
      <w:pPr>
        <w:spacing w:line="276" w:lineRule="auto"/>
        <w:jc w:val="both"/>
        <w:rPr>
          <w:rFonts w:ascii="Bookman Old Style" w:hAnsi="Bookman Old Style"/>
          <w:sz w:val="22"/>
          <w:szCs w:val="22"/>
        </w:rPr>
      </w:pPr>
    </w:p>
    <w:p w:rsidR="00503937" w:rsidRPr="004B743F" w:rsidRDefault="00503937" w:rsidP="00503937">
      <w:pPr>
        <w:spacing w:line="276" w:lineRule="auto"/>
        <w:jc w:val="both"/>
        <w:rPr>
          <w:rFonts w:ascii="Bookman Old Style" w:hAnsi="Bookman Old Style"/>
          <w:sz w:val="22"/>
          <w:szCs w:val="22"/>
        </w:rPr>
      </w:pPr>
    </w:p>
    <w:p w:rsidR="009159A2" w:rsidRPr="004B743F" w:rsidRDefault="003C6F8F" w:rsidP="000E4C88">
      <w:pPr>
        <w:spacing w:line="276" w:lineRule="auto"/>
        <w:jc w:val="center"/>
        <w:rPr>
          <w:sz w:val="22"/>
          <w:szCs w:val="22"/>
        </w:rPr>
      </w:pPr>
      <w:r w:rsidRPr="004B743F">
        <w:rPr>
          <w:rFonts w:ascii="Bookman Old Style" w:hAnsi="Bookman Old Style"/>
          <w:b/>
          <w:sz w:val="22"/>
          <w:szCs w:val="22"/>
        </w:rPr>
        <w:t>EL SECRETARIO DE LA JUNTA CONSULTIVA DE CONTRATACIÓN PÚBLICA DEL ESTADO.</w:t>
      </w:r>
    </w:p>
    <w:sectPr w:rsidR="009159A2" w:rsidRPr="004B743F" w:rsidSect="008F2658">
      <w:headerReference w:type="even" r:id="rId8"/>
      <w:headerReference w:type="default" r:id="rId9"/>
      <w:footerReference w:type="even" r:id="rId10"/>
      <w:footerReference w:type="default" r:id="rId11"/>
      <w:headerReference w:type="first" r:id="rId12"/>
      <w:footerReference w:type="first" r:id="rId13"/>
      <w:pgSz w:w="11906" w:h="16838" w:code="9"/>
      <w:pgMar w:top="3402" w:right="1134" w:bottom="1418" w:left="1701" w:header="1134"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246" w:rsidRDefault="00D62246">
      <w:r>
        <w:separator/>
      </w:r>
    </w:p>
  </w:endnote>
  <w:endnote w:type="continuationSeparator" w:id="0">
    <w:p w:rsidR="00D62246" w:rsidRDefault="00D622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52A" w:rsidRDefault="00333112">
    <w:pPr>
      <w:pStyle w:val="Piedepgina"/>
      <w:framePr w:wrap="around" w:vAnchor="text" w:hAnchor="margin" w:xAlign="center" w:y="1"/>
      <w:rPr>
        <w:rStyle w:val="Nmerodepgina"/>
      </w:rPr>
    </w:pPr>
    <w:r>
      <w:rPr>
        <w:rStyle w:val="Nmerodepgina"/>
      </w:rPr>
      <w:fldChar w:fldCharType="begin"/>
    </w:r>
    <w:r w:rsidR="0073152A">
      <w:rPr>
        <w:rStyle w:val="Nmerodepgina"/>
      </w:rPr>
      <w:instrText xml:space="preserve">PAGE  </w:instrText>
    </w:r>
    <w:r>
      <w:rPr>
        <w:rStyle w:val="Nmerodepgina"/>
      </w:rPr>
      <w:fldChar w:fldCharType="separate"/>
    </w:r>
    <w:r w:rsidR="0073152A">
      <w:rPr>
        <w:rStyle w:val="Nmerodepgina"/>
        <w:noProof/>
      </w:rPr>
      <w:t>1</w:t>
    </w:r>
    <w:r>
      <w:rPr>
        <w:rStyle w:val="Nmerodepgina"/>
      </w:rPr>
      <w:fldChar w:fldCharType="end"/>
    </w:r>
  </w:p>
  <w:p w:rsidR="0073152A" w:rsidRDefault="0073152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52A" w:rsidRDefault="00333112">
    <w:pPr>
      <w:pStyle w:val="Piedepgina"/>
      <w:rPr>
        <w:rFonts w:ascii="Arial" w:hAnsi="Arial"/>
        <w:sz w:val="16"/>
      </w:rPr>
    </w:pPr>
    <w:r w:rsidRPr="00333112">
      <w:rPr>
        <w:rFonts w:ascii="Arial" w:hAnsi="Arial"/>
        <w:noProof/>
        <w:sz w:val="16"/>
      </w:rPr>
      <w:pict>
        <v:line id="_x0000_s2052" style="position:absolute;z-index:251655168" from="411.75pt,-24.55pt" to="512.55pt,-24.55pt" o:allowincell="f"/>
      </w:pict>
    </w:r>
    <w:r w:rsidRPr="00333112">
      <w:rPr>
        <w:rFonts w:ascii="Arial" w:hAnsi="Arial"/>
        <w:noProof/>
        <w:sz w:val="16"/>
      </w:rPr>
      <w:pict>
        <v:shapetype id="_x0000_t202" coordsize="21600,21600" o:spt="202" path="m,l,21600r21600,l21600,xe">
          <v:stroke joinstyle="miter"/>
          <v:path gradientshapeok="t" o:connecttype="rect"/>
        </v:shapetype>
        <v:shape id="_x0000_s2051" type="#_x0000_t202" style="position:absolute;margin-left:409.5pt;margin-top:-24.55pt;width:93.6pt;height:28.8pt;z-index:251654144" o:allowincell="f" stroked="f">
          <v:textbox style="mso-next-textbox:#_x0000_s2051">
            <w:txbxContent>
              <w:p w:rsidR="0073152A" w:rsidRDefault="0073152A">
                <w:pPr>
                  <w:spacing w:line="100" w:lineRule="atLeast"/>
                  <w:jc w:val="both"/>
                  <w:rPr>
                    <w:rFonts w:ascii="Gill Sans MT" w:hAnsi="Gill Sans MT"/>
                    <w:sz w:val="14"/>
                  </w:rPr>
                </w:pPr>
              </w:p>
            </w:txbxContent>
          </v:textbox>
        </v:shape>
      </w:pict>
    </w:r>
    <w:r w:rsidR="0073152A">
      <w:rPr>
        <w:rFonts w:ascii="Arial" w:hAnsi="Arial"/>
        <w:snapToGrid w:val="0"/>
        <w:sz w:val="16"/>
      </w:rPr>
      <w:tab/>
    </w:r>
    <w:r>
      <w:rPr>
        <w:rStyle w:val="Nmerodepgina"/>
        <w:rFonts w:ascii="Arial" w:hAnsi="Arial"/>
      </w:rPr>
      <w:fldChar w:fldCharType="begin"/>
    </w:r>
    <w:r w:rsidR="0073152A">
      <w:rPr>
        <w:rStyle w:val="Nmerodepgina"/>
        <w:rFonts w:ascii="Arial" w:hAnsi="Arial"/>
      </w:rPr>
      <w:instrText xml:space="preserve"> PAGE </w:instrText>
    </w:r>
    <w:r>
      <w:rPr>
        <w:rStyle w:val="Nmerodepgina"/>
        <w:rFonts w:ascii="Arial" w:hAnsi="Arial"/>
      </w:rPr>
      <w:fldChar w:fldCharType="separate"/>
    </w:r>
    <w:r w:rsidR="004B743F">
      <w:rPr>
        <w:rStyle w:val="Nmerodepgina"/>
        <w:rFonts w:ascii="Arial" w:hAnsi="Arial"/>
        <w:noProof/>
      </w:rPr>
      <w:t>4</w:t>
    </w:r>
    <w:r>
      <w:rPr>
        <w:rStyle w:val="Nmerodepgina"/>
        <w:rFonts w:ascii="Arial" w:hAnsi="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52A" w:rsidRDefault="00333112">
    <w:pPr>
      <w:pStyle w:val="Piedepgina"/>
      <w:rPr>
        <w:rFonts w:ascii="Arial" w:hAnsi="Arial"/>
        <w:sz w:val="16"/>
      </w:rPr>
    </w:pPr>
    <w:r w:rsidRPr="00333112">
      <w:rPr>
        <w:noProof/>
      </w:rPr>
      <w:pict>
        <v:line id="_x0000_s2062" style="position:absolute;z-index:251662336" from="390.15pt,-19.65pt" to="390.15pt,30.75pt" o:allowincell="f"/>
      </w:pict>
    </w:r>
    <w:r w:rsidRPr="00333112">
      <w:rPr>
        <w:noProof/>
      </w:rPr>
      <w:pict>
        <v:shapetype id="_x0000_t202" coordsize="21600,21600" o:spt="202" path="m,l,21600r21600,l21600,xe">
          <v:stroke joinstyle="miter"/>
          <v:path gradientshapeok="t" o:connecttype="rect"/>
        </v:shapetype>
        <v:shape id="_x0000_s2063" type="#_x0000_t202" style="position:absolute;margin-left:395.25pt;margin-top:-19.65pt;width:115.2pt;height:43.2pt;z-index:251663360" o:allowincell="f" stroked="f">
          <v:textbox style="mso-next-textbox:#_x0000_s2063" inset="1mm,0,1.5mm">
            <w:txbxContent>
              <w:p w:rsidR="0073152A" w:rsidRDefault="0073152A">
                <w:pPr>
                  <w:spacing w:line="140" w:lineRule="exact"/>
                  <w:rPr>
                    <w:rFonts w:ascii="Gill Sans MT" w:hAnsi="Gill Sans MT"/>
                    <w:sz w:val="14"/>
                  </w:rPr>
                </w:pPr>
              </w:p>
              <w:p w:rsidR="0073152A" w:rsidRDefault="0073152A">
                <w:pPr>
                  <w:spacing w:line="140" w:lineRule="exact"/>
                  <w:rPr>
                    <w:rFonts w:ascii="Gill Sans MT" w:hAnsi="Gill Sans MT"/>
                    <w:sz w:val="14"/>
                  </w:rPr>
                </w:pPr>
                <w:r>
                  <w:rPr>
                    <w:rFonts w:ascii="Gill Sans MT" w:hAnsi="Gill Sans MT"/>
                    <w:sz w:val="14"/>
                  </w:rPr>
                  <w:t>JOSÉ ABASCAL 4, 1º</w:t>
                </w:r>
              </w:p>
              <w:p w:rsidR="0073152A" w:rsidRDefault="0073152A">
                <w:pPr>
                  <w:spacing w:line="140" w:lineRule="exact"/>
                  <w:rPr>
                    <w:rFonts w:ascii="Gill Sans MT" w:hAnsi="Gill Sans MT"/>
                    <w:sz w:val="14"/>
                  </w:rPr>
                </w:pPr>
                <w:r>
                  <w:rPr>
                    <w:rFonts w:ascii="Gill Sans MT" w:hAnsi="Gill Sans MT"/>
                    <w:sz w:val="14"/>
                  </w:rPr>
                  <w:t>28071 MADRID</w:t>
                </w:r>
              </w:p>
              <w:p w:rsidR="0073152A" w:rsidRDefault="0073152A">
                <w:pPr>
                  <w:spacing w:line="140" w:lineRule="exact"/>
                  <w:rPr>
                    <w:rFonts w:ascii="Gill Sans MT" w:hAnsi="Gill Sans MT"/>
                    <w:sz w:val="14"/>
                  </w:rPr>
                </w:pPr>
                <w:r>
                  <w:rPr>
                    <w:rFonts w:ascii="Gill Sans MT" w:hAnsi="Gill Sans MT"/>
                    <w:sz w:val="14"/>
                  </w:rPr>
                  <w:t>TEL: 914 430 950</w:t>
                </w:r>
              </w:p>
              <w:p w:rsidR="0073152A" w:rsidRDefault="0073152A">
                <w:pPr>
                  <w:rPr>
                    <w:sz w:val="14"/>
                  </w:rPr>
                </w:pPr>
                <w:r>
                  <w:rPr>
                    <w:rFonts w:ascii="Gill Sans MT" w:hAnsi="Gill Sans MT"/>
                    <w:sz w:val="14"/>
                  </w:rPr>
                  <w:t>FAX: 915 756 765</w:t>
                </w:r>
              </w:p>
              <w:p w:rsidR="0073152A" w:rsidRDefault="0073152A">
                <w:pPr>
                  <w:rPr>
                    <w:sz w:val="14"/>
                  </w:rPr>
                </w:pPr>
              </w:p>
            </w:txbxContent>
          </v:textbox>
        </v:shape>
      </w:pict>
    </w:r>
    <w:r w:rsidRPr="00333112">
      <w:rPr>
        <w:noProof/>
      </w:rPr>
      <w:pict>
        <v:rect id="_x0000_s2061" style="position:absolute;margin-left:-41.85pt;margin-top:1.95pt;width:169.6pt;height:9.35pt;z-index:251661312" o:allowincell="f" filled="f" stroked="f">
          <v:textbox style="mso-next-textbox:#_x0000_s2061;mso-rotate-with-shape:t" inset="0,0,0,0">
            <w:txbxContent>
              <w:p w:rsidR="0073152A" w:rsidRDefault="0073152A"/>
            </w:txbxContent>
          </v:textbox>
        </v:rect>
      </w:pict>
    </w:r>
    <w:r w:rsidRPr="00333112">
      <w:rPr>
        <w:noProof/>
      </w:rPr>
      <w:pict>
        <v:rect id="_x0000_s2060" style="position:absolute;margin-left:375.7pt;margin-top:-17.1pt;width:113.3pt;height:35.95pt;z-index:251660288" o:allowincell="f" filled="f" stroked="f"/>
      </w:pict>
    </w:r>
    <w:r w:rsidRPr="00333112">
      <w:rPr>
        <w:noProof/>
      </w:rPr>
      <w:pict>
        <v:rect id="_x0000_s2053" style="position:absolute;margin-left:375.7pt;margin-top:-17.1pt;width:113.3pt;height:35.95pt;z-index:251656192" o:allowincell="f" filled="f"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246" w:rsidRDefault="00D62246">
      <w:r>
        <w:separator/>
      </w:r>
    </w:p>
  </w:footnote>
  <w:footnote w:type="continuationSeparator" w:id="0">
    <w:p w:rsidR="00D62246" w:rsidRDefault="00D62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52A" w:rsidRDefault="00333112">
    <w:pPr>
      <w:pStyle w:val="Encabezado"/>
      <w:framePr w:wrap="around" w:vAnchor="text" w:hAnchor="margin" w:xAlign="right" w:y="1"/>
      <w:rPr>
        <w:rStyle w:val="Nmerodepgina"/>
      </w:rPr>
    </w:pPr>
    <w:r>
      <w:rPr>
        <w:rStyle w:val="Nmerodepgina"/>
      </w:rPr>
      <w:fldChar w:fldCharType="begin"/>
    </w:r>
    <w:r w:rsidR="0073152A">
      <w:rPr>
        <w:rStyle w:val="Nmerodepgina"/>
      </w:rPr>
      <w:instrText xml:space="preserve">PAGE  </w:instrText>
    </w:r>
    <w:r>
      <w:rPr>
        <w:rStyle w:val="Nmerodepgina"/>
      </w:rPr>
      <w:fldChar w:fldCharType="separate"/>
    </w:r>
    <w:r w:rsidR="0073152A">
      <w:rPr>
        <w:rStyle w:val="Nmerodepgina"/>
        <w:noProof/>
      </w:rPr>
      <w:t>1</w:t>
    </w:r>
    <w:r>
      <w:rPr>
        <w:rStyle w:val="Nmerodepgina"/>
      </w:rPr>
      <w:fldChar w:fldCharType="end"/>
    </w:r>
  </w:p>
  <w:p w:rsidR="0073152A" w:rsidRDefault="0073152A">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52A" w:rsidRDefault="00333112">
    <w:pPr>
      <w:pStyle w:val="Encabezado"/>
      <w:tabs>
        <w:tab w:val="clear" w:pos="8504"/>
      </w:tabs>
      <w:ind w:right="360"/>
    </w:pPr>
    <w:r w:rsidRPr="00333112">
      <w:rPr>
        <w:noProof/>
      </w:rPr>
      <w:pict>
        <v:line id="_x0000_s2050" style="position:absolute;z-index:251653120" from="447.75pt,22.5pt" to="476.55pt,22.5pt" o:allowincell="f"/>
      </w:pict>
    </w:r>
    <w:r w:rsidR="0019212C">
      <w:rPr>
        <w:noProof/>
        <w:lang w:val="es-ES"/>
      </w:rPr>
      <w:drawing>
        <wp:anchor distT="0" distB="0" distL="114300" distR="114300" simplePos="0" relativeHeight="251652096" behindDoc="0" locked="0" layoutInCell="0" allowOverlap="1">
          <wp:simplePos x="0" y="0"/>
          <wp:positionH relativeFrom="column">
            <wp:posOffset>5600065</wp:posOffset>
          </wp:positionH>
          <wp:positionV relativeFrom="paragraph">
            <wp:posOffset>-262890</wp:posOffset>
          </wp:positionV>
          <wp:extent cx="543560" cy="548640"/>
          <wp:effectExtent l="1905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3560" cy="54864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52A" w:rsidRDefault="00333112">
    <w:pPr>
      <w:pStyle w:val="Encabezado"/>
    </w:pPr>
    <w:r w:rsidRPr="00333112">
      <w:rPr>
        <w:noProof/>
      </w:rPr>
      <w:pict>
        <v:shapetype id="_x0000_t202" coordsize="21600,21600" o:spt="202" path="m,l,21600r21600,l21600,xe">
          <v:stroke joinstyle="miter"/>
          <v:path gradientshapeok="t" o:connecttype="rect"/>
        </v:shapetype>
        <v:shape id="_x0000_s2055" type="#_x0000_t202" style="position:absolute;margin-left:336.2pt;margin-top:-1.5pt;width:158.4pt;height:36pt;z-index:251658240" o:allowincell="f" stroked="f">
          <v:textbox style="mso-next-textbox:#_x0000_s2055">
            <w:txbxContent>
              <w:p w:rsidR="0073152A" w:rsidRDefault="0073152A">
                <w:pPr>
                  <w:spacing w:line="140" w:lineRule="exact"/>
                  <w:rPr>
                    <w:rFonts w:ascii="Gill Sans MT" w:hAnsi="Gill Sans MT"/>
                    <w:sz w:val="14"/>
                  </w:rPr>
                </w:pPr>
              </w:p>
              <w:p w:rsidR="0073152A" w:rsidRDefault="0073152A" w:rsidP="00164330">
                <w:pPr>
                  <w:spacing w:line="140" w:lineRule="exact"/>
                  <w:jc w:val="center"/>
                  <w:rPr>
                    <w:rFonts w:ascii="Gill Sans MT" w:hAnsi="Gill Sans MT"/>
                    <w:sz w:val="14"/>
                  </w:rPr>
                </w:pPr>
                <w:r>
                  <w:rPr>
                    <w:rFonts w:ascii="Gill Sans MT" w:hAnsi="Gill Sans MT"/>
                    <w:sz w:val="14"/>
                  </w:rPr>
                  <w:t>JUNTA CONSULTIVA DE CONTRATACIÓN</w:t>
                </w:r>
              </w:p>
              <w:p w:rsidR="0073152A" w:rsidRDefault="00F4395C" w:rsidP="00164330">
                <w:pPr>
                  <w:spacing w:line="140" w:lineRule="exact"/>
                  <w:jc w:val="center"/>
                  <w:rPr>
                    <w:rFonts w:ascii="Gill Sans MT" w:hAnsi="Gill Sans MT"/>
                    <w:sz w:val="14"/>
                  </w:rPr>
                </w:pPr>
                <w:r>
                  <w:rPr>
                    <w:rFonts w:ascii="Gill Sans MT" w:hAnsi="Gill Sans MT"/>
                    <w:sz w:val="14"/>
                  </w:rPr>
                  <w:t>PÚBLICA DEL ESTADO</w:t>
                </w:r>
              </w:p>
              <w:p w:rsidR="0073152A" w:rsidRDefault="0073152A">
                <w:pPr>
                  <w:spacing w:line="140" w:lineRule="exact"/>
                  <w:rPr>
                    <w:rFonts w:ascii="Arial" w:hAnsi="Arial"/>
                    <w:sz w:val="16"/>
                  </w:rPr>
                </w:pPr>
              </w:p>
            </w:txbxContent>
          </v:textbox>
        </v:shape>
      </w:pict>
    </w:r>
    <w:r w:rsidRPr="00333112">
      <w:rPr>
        <w:noProof/>
      </w:rPr>
      <w:pict>
        <v:group id="_x0000_s2057" style="position:absolute;margin-left:-49.05pt;margin-top:-6.3pt;width:158.4pt;height:66pt;z-index:251659264" coordorigin="288,576" coordsize="3168,132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288;top:576;width:1306;height:1320">
            <v:imagedata r:id="rId1" o:title=""/>
          </v:shape>
          <v:shape id="_x0000_s2059" type="#_x0000_t202" style="position:absolute;left:1440;top:864;width:2016;height:1008" stroked="f">
            <v:textbox style="mso-next-textbox:#_x0000_s2059">
              <w:txbxContent>
                <w:p w:rsidR="0073152A" w:rsidRPr="00D5245B" w:rsidRDefault="0073152A">
                  <w:pPr>
                    <w:pStyle w:val="Encabezado"/>
                    <w:tabs>
                      <w:tab w:val="clear" w:pos="4252"/>
                      <w:tab w:val="clear" w:pos="8504"/>
                    </w:tabs>
                    <w:spacing w:line="200" w:lineRule="exact"/>
                    <w:rPr>
                      <w:rFonts w:ascii="Gill Sans MT" w:hAnsi="Gill Sans MT"/>
                      <w:sz w:val="18"/>
                      <w:szCs w:val="18"/>
                    </w:rPr>
                  </w:pPr>
                  <w:r w:rsidRPr="00D5245B">
                    <w:rPr>
                      <w:rFonts w:ascii="Gill Sans MT" w:hAnsi="Gill Sans MT"/>
                      <w:sz w:val="18"/>
                      <w:szCs w:val="18"/>
                    </w:rPr>
                    <w:t>MINISTERIO</w:t>
                  </w:r>
                </w:p>
                <w:p w:rsidR="0073152A" w:rsidRPr="00D5245B" w:rsidRDefault="0073152A">
                  <w:pPr>
                    <w:spacing w:line="200" w:lineRule="exact"/>
                    <w:rPr>
                      <w:rFonts w:ascii="Gill Sans MT" w:hAnsi="Gill Sans MT"/>
                      <w:sz w:val="18"/>
                      <w:szCs w:val="18"/>
                    </w:rPr>
                  </w:pPr>
                  <w:r w:rsidRPr="00D5245B">
                    <w:rPr>
                      <w:rFonts w:ascii="Gill Sans MT" w:hAnsi="Gill Sans MT"/>
                      <w:sz w:val="18"/>
                      <w:szCs w:val="18"/>
                    </w:rPr>
                    <w:t>DE HACIENDA Y</w:t>
                  </w:r>
                </w:p>
                <w:p w:rsidR="0073152A" w:rsidRPr="00D5245B" w:rsidRDefault="00D45478">
                  <w:pPr>
                    <w:spacing w:line="200" w:lineRule="exact"/>
                    <w:rPr>
                      <w:rFonts w:ascii="Gill Sans MT" w:hAnsi="Gill Sans MT"/>
                      <w:sz w:val="18"/>
                      <w:szCs w:val="18"/>
                    </w:rPr>
                  </w:pPr>
                  <w:r>
                    <w:rPr>
                      <w:rFonts w:ascii="Gill Sans MT" w:hAnsi="Gill Sans MT"/>
                      <w:sz w:val="18"/>
                      <w:szCs w:val="18"/>
                    </w:rPr>
                    <w:t>FUNCIÓN</w:t>
                  </w:r>
                  <w:r w:rsidR="0073152A" w:rsidRPr="00D5245B">
                    <w:rPr>
                      <w:rFonts w:ascii="Gill Sans MT" w:hAnsi="Gill Sans MT"/>
                      <w:sz w:val="18"/>
                      <w:szCs w:val="18"/>
                    </w:rPr>
                    <w:t xml:space="preserve"> PÚBLICA </w:t>
                  </w:r>
                </w:p>
              </w:txbxContent>
            </v:textbox>
          </v:shape>
        </v:group>
      </w:pict>
    </w:r>
    <w:r w:rsidRPr="00333112">
      <w:rPr>
        <w:noProof/>
      </w:rPr>
      <w:pict>
        <v:rect id="_x0000_s2054" style="position:absolute;margin-left:361.35pt;margin-top:-13.5pt;width:120.85pt;height:43.2pt;z-index:251657216" o:allowincell="f" filled="f"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656E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7987FA0"/>
    <w:multiLevelType w:val="singleLevel"/>
    <w:tmpl w:val="01CC2648"/>
    <w:lvl w:ilvl="0">
      <w:start w:val="4"/>
      <w:numFmt w:val="decimal"/>
      <w:lvlText w:val="%1."/>
      <w:lvlJc w:val="left"/>
      <w:pPr>
        <w:tabs>
          <w:tab w:val="num" w:pos="360"/>
        </w:tabs>
        <w:ind w:left="360" w:hanging="360"/>
      </w:pPr>
      <w:rPr>
        <w:rFonts w:hint="default"/>
        <w:b/>
      </w:rPr>
    </w:lvl>
  </w:abstractNum>
  <w:abstractNum w:abstractNumId="3">
    <w:nsid w:val="07E8019B"/>
    <w:multiLevelType w:val="singleLevel"/>
    <w:tmpl w:val="7EB0B610"/>
    <w:lvl w:ilvl="0">
      <w:start w:val="1"/>
      <w:numFmt w:val="bullet"/>
      <w:lvlText w:val="-"/>
      <w:lvlJc w:val="left"/>
      <w:pPr>
        <w:tabs>
          <w:tab w:val="num" w:pos="360"/>
        </w:tabs>
        <w:ind w:left="360" w:hanging="360"/>
      </w:pPr>
      <w:rPr>
        <w:rFonts w:ascii="Times New Roman" w:hAnsi="Times New Roman" w:hint="default"/>
      </w:rPr>
    </w:lvl>
  </w:abstractNum>
  <w:abstractNum w:abstractNumId="4">
    <w:nsid w:val="0846115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nsid w:val="0AF919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0B795363"/>
    <w:multiLevelType w:val="hybridMultilevel"/>
    <w:tmpl w:val="A62ED2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24471B8"/>
    <w:multiLevelType w:val="hybridMultilevel"/>
    <w:tmpl w:val="D7543F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16283C7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1D1B4D2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24AC1504"/>
    <w:multiLevelType w:val="hybridMultilevel"/>
    <w:tmpl w:val="DFCE78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4B85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5D9384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3">
    <w:nsid w:val="31CC1332"/>
    <w:multiLevelType w:val="singleLevel"/>
    <w:tmpl w:val="0C0A000F"/>
    <w:lvl w:ilvl="0">
      <w:start w:val="1"/>
      <w:numFmt w:val="decimal"/>
      <w:lvlText w:val="%1."/>
      <w:lvlJc w:val="left"/>
      <w:pPr>
        <w:tabs>
          <w:tab w:val="num" w:pos="360"/>
        </w:tabs>
        <w:ind w:left="360" w:hanging="360"/>
      </w:pPr>
    </w:lvl>
  </w:abstractNum>
  <w:abstractNum w:abstractNumId="14">
    <w:nsid w:val="32D013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37CA6DB5"/>
    <w:multiLevelType w:val="hybridMultilevel"/>
    <w:tmpl w:val="667E81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7F61E2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7">
    <w:nsid w:val="3ACF4BED"/>
    <w:multiLevelType w:val="singleLevel"/>
    <w:tmpl w:val="301E44DA"/>
    <w:lvl w:ilvl="0">
      <w:start w:val="1"/>
      <w:numFmt w:val="decimal"/>
      <w:lvlText w:val="%1."/>
      <w:legacy w:legacy="1" w:legacySpace="0" w:legacyIndent="567"/>
      <w:lvlJc w:val="left"/>
      <w:pPr>
        <w:ind w:left="851" w:hanging="567"/>
      </w:pPr>
      <w:rPr>
        <w:rFonts w:ascii="Arial" w:hAnsi="Arial" w:hint="default"/>
        <w:b/>
        <w:i w:val="0"/>
        <w:sz w:val="24"/>
      </w:rPr>
    </w:lvl>
  </w:abstractNum>
  <w:abstractNum w:abstractNumId="18">
    <w:nsid w:val="4AC36E23"/>
    <w:multiLevelType w:val="hybridMultilevel"/>
    <w:tmpl w:val="E86C1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BB4270"/>
    <w:multiLevelType w:val="hybridMultilevel"/>
    <w:tmpl w:val="2EA25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0A84B0C"/>
    <w:multiLevelType w:val="singleLevel"/>
    <w:tmpl w:val="8A127BDC"/>
    <w:lvl w:ilvl="0">
      <w:start w:val="1"/>
      <w:numFmt w:val="decimal"/>
      <w:lvlText w:val="%1-"/>
      <w:lvlJc w:val="left"/>
      <w:pPr>
        <w:tabs>
          <w:tab w:val="num" w:pos="360"/>
        </w:tabs>
        <w:ind w:left="360" w:hanging="360"/>
      </w:pPr>
      <w:rPr>
        <w:rFonts w:hint="default"/>
        <w:b/>
      </w:rPr>
    </w:lvl>
  </w:abstractNum>
  <w:abstractNum w:abstractNumId="21">
    <w:nsid w:val="70412CC4"/>
    <w:multiLevelType w:val="hybridMultilevel"/>
    <w:tmpl w:val="370050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0B81D1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nsid w:val="76D21ACC"/>
    <w:multiLevelType w:val="hybridMultilevel"/>
    <w:tmpl w:val="572EE132"/>
    <w:lvl w:ilvl="0" w:tplc="1C2071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9980F31"/>
    <w:multiLevelType w:val="singleLevel"/>
    <w:tmpl w:val="0C0A000F"/>
    <w:lvl w:ilvl="0">
      <w:start w:val="1"/>
      <w:numFmt w:val="decimal"/>
      <w:lvlText w:val="%1."/>
      <w:lvlJc w:val="left"/>
      <w:pPr>
        <w:tabs>
          <w:tab w:val="num" w:pos="360"/>
        </w:tabs>
        <w:ind w:left="360" w:hanging="360"/>
      </w:pPr>
      <w:rPr>
        <w:rFonts w:hint="default"/>
      </w:rPr>
    </w:lvl>
  </w:abstractNum>
  <w:abstractNum w:abstractNumId="25">
    <w:nsid w:val="7DA90199"/>
    <w:multiLevelType w:val="hybridMultilevel"/>
    <w:tmpl w:val="FF90E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7"/>
  </w:num>
  <w:num w:numId="5">
    <w:abstractNumId w:val="20"/>
  </w:num>
  <w:num w:numId="6">
    <w:abstractNumId w:val="2"/>
  </w:num>
  <w:num w:numId="7">
    <w:abstractNumId w:val="13"/>
  </w:num>
  <w:num w:numId="8">
    <w:abstractNumId w:val="24"/>
  </w:num>
  <w:num w:numId="9">
    <w:abstractNumId w:val="3"/>
  </w:num>
  <w:num w:numId="10">
    <w:abstractNumId w:val="4"/>
  </w:num>
  <w:num w:numId="11">
    <w:abstractNumId w:val="16"/>
  </w:num>
  <w:num w:numId="12">
    <w:abstractNumId w:val="12"/>
  </w:num>
  <w:num w:numId="13">
    <w:abstractNumId w:val="8"/>
  </w:num>
  <w:num w:numId="14">
    <w:abstractNumId w:val="22"/>
  </w:num>
  <w:num w:numId="15">
    <w:abstractNumId w:val="1"/>
  </w:num>
  <w:num w:numId="16">
    <w:abstractNumId w:val="9"/>
  </w:num>
  <w:num w:numId="17">
    <w:abstractNumId w:val="14"/>
  </w:num>
  <w:num w:numId="18">
    <w:abstractNumId w:val="5"/>
  </w:num>
  <w:num w:numId="19">
    <w:abstractNumId w:val="11"/>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3"/>
  </w:num>
  <w:num w:numId="22">
    <w:abstractNumId w:val="25"/>
  </w:num>
  <w:num w:numId="23">
    <w:abstractNumId w:val="19"/>
  </w:num>
  <w:num w:numId="24">
    <w:abstractNumId w:val="18"/>
  </w:num>
  <w:num w:numId="25">
    <w:abstractNumId w:val="10"/>
  </w:num>
  <w:num w:numId="26">
    <w:abstractNumId w:val="21"/>
  </w:num>
  <w:num w:numId="27">
    <w:abstractNumId w:val="7"/>
  </w:num>
  <w:num w:numId="28">
    <w:abstractNumId w:val="6"/>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rsids>
    <w:rsidRoot w:val="00C20A44"/>
    <w:rsid w:val="0000598C"/>
    <w:rsid w:val="00020A83"/>
    <w:rsid w:val="00084018"/>
    <w:rsid w:val="000B1DFE"/>
    <w:rsid w:val="000E4C88"/>
    <w:rsid w:val="00103410"/>
    <w:rsid w:val="00164330"/>
    <w:rsid w:val="0019212C"/>
    <w:rsid w:val="001A278D"/>
    <w:rsid w:val="001B5403"/>
    <w:rsid w:val="001B7642"/>
    <w:rsid w:val="00333112"/>
    <w:rsid w:val="00356487"/>
    <w:rsid w:val="00366804"/>
    <w:rsid w:val="003C6F8F"/>
    <w:rsid w:val="004B743F"/>
    <w:rsid w:val="00502AA7"/>
    <w:rsid w:val="00503937"/>
    <w:rsid w:val="00512B2E"/>
    <w:rsid w:val="00521854"/>
    <w:rsid w:val="005727F8"/>
    <w:rsid w:val="00617388"/>
    <w:rsid w:val="00625E63"/>
    <w:rsid w:val="006A54E5"/>
    <w:rsid w:val="006B3C70"/>
    <w:rsid w:val="006D1871"/>
    <w:rsid w:val="006E0623"/>
    <w:rsid w:val="006F30A6"/>
    <w:rsid w:val="006F5FF0"/>
    <w:rsid w:val="0073152A"/>
    <w:rsid w:val="00745B65"/>
    <w:rsid w:val="0075568C"/>
    <w:rsid w:val="007B1E16"/>
    <w:rsid w:val="007D2B9B"/>
    <w:rsid w:val="008659F7"/>
    <w:rsid w:val="00872C5E"/>
    <w:rsid w:val="008A0ADB"/>
    <w:rsid w:val="008F2658"/>
    <w:rsid w:val="009122AB"/>
    <w:rsid w:val="009159A2"/>
    <w:rsid w:val="0097485C"/>
    <w:rsid w:val="009C4BB9"/>
    <w:rsid w:val="009F0D10"/>
    <w:rsid w:val="00A36A4B"/>
    <w:rsid w:val="00A768F0"/>
    <w:rsid w:val="00A90146"/>
    <w:rsid w:val="00B10EDE"/>
    <w:rsid w:val="00BA6482"/>
    <w:rsid w:val="00BB2DC5"/>
    <w:rsid w:val="00BE1042"/>
    <w:rsid w:val="00C20A44"/>
    <w:rsid w:val="00C52FE5"/>
    <w:rsid w:val="00C91EB2"/>
    <w:rsid w:val="00CF2FDE"/>
    <w:rsid w:val="00D063A2"/>
    <w:rsid w:val="00D127F7"/>
    <w:rsid w:val="00D26A5E"/>
    <w:rsid w:val="00D45478"/>
    <w:rsid w:val="00D5245B"/>
    <w:rsid w:val="00D62246"/>
    <w:rsid w:val="00D62792"/>
    <w:rsid w:val="00D966FC"/>
    <w:rsid w:val="00DC614A"/>
    <w:rsid w:val="00DD7D3D"/>
    <w:rsid w:val="00DF3BA0"/>
    <w:rsid w:val="00E164BC"/>
    <w:rsid w:val="00E57D67"/>
    <w:rsid w:val="00E9022A"/>
    <w:rsid w:val="00E9232A"/>
    <w:rsid w:val="00ED5688"/>
    <w:rsid w:val="00F25059"/>
    <w:rsid w:val="00F4395C"/>
    <w:rsid w:val="00FD20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658"/>
    <w:rPr>
      <w:lang w:val="es-ES_tradnl"/>
    </w:rPr>
  </w:style>
  <w:style w:type="paragraph" w:styleId="Ttulo1">
    <w:name w:val="heading 1"/>
    <w:basedOn w:val="Normal"/>
    <w:next w:val="Normal"/>
    <w:qFormat/>
    <w:rsid w:val="008F2658"/>
    <w:pPr>
      <w:keepNext/>
      <w:pBdr>
        <w:bottom w:val="single" w:sz="4" w:space="1" w:color="auto"/>
      </w:pBdr>
      <w:jc w:val="both"/>
      <w:outlineLvl w:val="0"/>
    </w:pPr>
    <w:rPr>
      <w:rFonts w:ascii="Arial" w:hAnsi="Arial"/>
      <w:b/>
      <w:sz w:val="24"/>
    </w:rPr>
  </w:style>
  <w:style w:type="paragraph" w:styleId="Ttulo2">
    <w:name w:val="heading 2"/>
    <w:basedOn w:val="Normal"/>
    <w:next w:val="Normal"/>
    <w:qFormat/>
    <w:rsid w:val="008F2658"/>
    <w:pPr>
      <w:keepNext/>
      <w:widowControl w:val="0"/>
      <w:ind w:left="426"/>
      <w:jc w:val="both"/>
      <w:outlineLvl w:val="1"/>
    </w:pPr>
    <w:rPr>
      <w:rFonts w:ascii="Arial" w:hAnsi="Arial"/>
      <w:b/>
      <w:sz w:val="24"/>
    </w:rPr>
  </w:style>
  <w:style w:type="paragraph" w:styleId="Ttulo3">
    <w:name w:val="heading 3"/>
    <w:basedOn w:val="Normal"/>
    <w:next w:val="Normal"/>
    <w:qFormat/>
    <w:rsid w:val="008F2658"/>
    <w:pPr>
      <w:keepNext/>
      <w:outlineLvl w:val="2"/>
    </w:pPr>
    <w:rPr>
      <w:rFonts w:ascii="Gill Sans MT" w:hAnsi="Gill Sans MT"/>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F2658"/>
    <w:pPr>
      <w:tabs>
        <w:tab w:val="center" w:pos="4252"/>
        <w:tab w:val="right" w:pos="8504"/>
      </w:tabs>
    </w:pPr>
  </w:style>
  <w:style w:type="paragraph" w:styleId="Piedepgina">
    <w:name w:val="footer"/>
    <w:basedOn w:val="Normal"/>
    <w:rsid w:val="008F2658"/>
    <w:pPr>
      <w:tabs>
        <w:tab w:val="center" w:pos="4252"/>
        <w:tab w:val="right" w:pos="8504"/>
      </w:tabs>
    </w:pPr>
  </w:style>
  <w:style w:type="paragraph" w:styleId="Textonotapie">
    <w:name w:val="footnote text"/>
    <w:basedOn w:val="Normal"/>
    <w:semiHidden/>
    <w:rsid w:val="008F2658"/>
  </w:style>
  <w:style w:type="character" w:styleId="Refdenotaalpie">
    <w:name w:val="footnote reference"/>
    <w:basedOn w:val="Fuentedeprrafopredeter"/>
    <w:semiHidden/>
    <w:rsid w:val="008F2658"/>
    <w:rPr>
      <w:vertAlign w:val="superscript"/>
    </w:rPr>
  </w:style>
  <w:style w:type="paragraph" w:styleId="Ttulo">
    <w:name w:val="Title"/>
    <w:basedOn w:val="Normal"/>
    <w:qFormat/>
    <w:rsid w:val="008F2658"/>
    <w:pPr>
      <w:widowControl w:val="0"/>
      <w:jc w:val="center"/>
    </w:pPr>
    <w:rPr>
      <w:rFonts w:ascii="Arial" w:hAnsi="Arial"/>
      <w:b/>
      <w:sz w:val="28"/>
    </w:rPr>
  </w:style>
  <w:style w:type="paragraph" w:styleId="Textoindependiente">
    <w:name w:val="Body Text"/>
    <w:basedOn w:val="Normal"/>
    <w:rsid w:val="008F2658"/>
    <w:pPr>
      <w:jc w:val="center"/>
    </w:pPr>
    <w:rPr>
      <w:rFonts w:ascii="Arial" w:hAnsi="Arial"/>
      <w:b/>
      <w:sz w:val="28"/>
    </w:rPr>
  </w:style>
  <w:style w:type="paragraph" w:styleId="Sangradetextonormal">
    <w:name w:val="Body Text Indent"/>
    <w:basedOn w:val="Normal"/>
    <w:rsid w:val="008F2658"/>
    <w:pPr>
      <w:widowControl w:val="0"/>
      <w:ind w:left="426"/>
      <w:jc w:val="both"/>
    </w:pPr>
    <w:rPr>
      <w:rFonts w:ascii="Arial" w:hAnsi="Arial"/>
      <w:b/>
      <w:sz w:val="24"/>
    </w:rPr>
  </w:style>
  <w:style w:type="paragraph" w:styleId="Textoindependiente2">
    <w:name w:val="Body Text 2"/>
    <w:basedOn w:val="Normal"/>
    <w:rsid w:val="008F2658"/>
    <w:pPr>
      <w:jc w:val="both"/>
    </w:pPr>
    <w:rPr>
      <w:rFonts w:ascii="Arial" w:hAnsi="Arial"/>
      <w:sz w:val="28"/>
    </w:rPr>
  </w:style>
  <w:style w:type="paragraph" w:styleId="Textoindependiente3">
    <w:name w:val="Body Text 3"/>
    <w:basedOn w:val="Normal"/>
    <w:rsid w:val="008F2658"/>
    <w:pPr>
      <w:spacing w:line="312" w:lineRule="auto"/>
      <w:jc w:val="both"/>
    </w:pPr>
    <w:rPr>
      <w:rFonts w:ascii="Arial" w:hAnsi="Arial"/>
      <w:b/>
      <w:sz w:val="24"/>
    </w:rPr>
  </w:style>
  <w:style w:type="character" w:styleId="Hipervnculo">
    <w:name w:val="Hyperlink"/>
    <w:basedOn w:val="Fuentedeprrafopredeter"/>
    <w:rsid w:val="008F2658"/>
    <w:rPr>
      <w:color w:val="0000FF"/>
      <w:u w:val="single"/>
    </w:rPr>
  </w:style>
  <w:style w:type="paragraph" w:styleId="Textodebloque">
    <w:name w:val="Block Text"/>
    <w:basedOn w:val="Normal"/>
    <w:rsid w:val="008F2658"/>
    <w:pPr>
      <w:ind w:left="284" w:right="566"/>
      <w:jc w:val="center"/>
    </w:pPr>
    <w:rPr>
      <w:b/>
      <w:sz w:val="32"/>
      <w:u w:val="single"/>
    </w:rPr>
  </w:style>
  <w:style w:type="paragraph" w:styleId="Sangra2detindependiente">
    <w:name w:val="Body Text Indent 2"/>
    <w:basedOn w:val="Normal"/>
    <w:rsid w:val="008F2658"/>
    <w:pPr>
      <w:ind w:left="851"/>
      <w:jc w:val="both"/>
    </w:pPr>
    <w:rPr>
      <w:b/>
      <w:sz w:val="24"/>
    </w:rPr>
  </w:style>
  <w:style w:type="paragraph" w:styleId="Sangra3detindependiente">
    <w:name w:val="Body Text Indent 3"/>
    <w:basedOn w:val="Normal"/>
    <w:rsid w:val="008F2658"/>
    <w:pPr>
      <w:ind w:left="284"/>
      <w:jc w:val="both"/>
    </w:pPr>
    <w:rPr>
      <w:sz w:val="24"/>
    </w:rPr>
  </w:style>
  <w:style w:type="character" w:styleId="Nmerodepgina">
    <w:name w:val="page number"/>
    <w:basedOn w:val="Fuentedeprrafopredeter"/>
    <w:rsid w:val="008F2658"/>
  </w:style>
  <w:style w:type="character" w:styleId="Refdecomentario">
    <w:name w:val="annotation reference"/>
    <w:basedOn w:val="Fuentedeprrafopredeter"/>
    <w:rsid w:val="00BB2DC5"/>
    <w:rPr>
      <w:sz w:val="16"/>
      <w:szCs w:val="16"/>
    </w:rPr>
  </w:style>
  <w:style w:type="paragraph" w:styleId="Textocomentario">
    <w:name w:val="annotation text"/>
    <w:basedOn w:val="Normal"/>
    <w:link w:val="TextocomentarioCar"/>
    <w:rsid w:val="00BB2DC5"/>
  </w:style>
  <w:style w:type="character" w:customStyle="1" w:styleId="TextocomentarioCar">
    <w:name w:val="Texto comentario Car"/>
    <w:basedOn w:val="Fuentedeprrafopredeter"/>
    <w:link w:val="Textocomentario"/>
    <w:rsid w:val="00BB2DC5"/>
    <w:rPr>
      <w:lang w:val="es-ES_tradnl"/>
    </w:rPr>
  </w:style>
  <w:style w:type="paragraph" w:styleId="Textodeglobo">
    <w:name w:val="Balloon Text"/>
    <w:basedOn w:val="Normal"/>
    <w:link w:val="TextodegloboCar"/>
    <w:rsid w:val="00BB2DC5"/>
    <w:rPr>
      <w:rFonts w:ascii="Tahoma" w:hAnsi="Tahoma" w:cs="Tahoma"/>
      <w:sz w:val="16"/>
      <w:szCs w:val="16"/>
    </w:rPr>
  </w:style>
  <w:style w:type="character" w:customStyle="1" w:styleId="TextodegloboCar">
    <w:name w:val="Texto de globo Car"/>
    <w:basedOn w:val="Fuentedeprrafopredeter"/>
    <w:link w:val="Textodeglobo"/>
    <w:rsid w:val="00BB2DC5"/>
    <w:rPr>
      <w:rFonts w:ascii="Tahoma" w:hAnsi="Tahoma" w:cs="Tahoma"/>
      <w:sz w:val="16"/>
      <w:szCs w:val="16"/>
      <w:lang w:val="es-ES_tradnl"/>
    </w:rPr>
  </w:style>
  <w:style w:type="paragraph" w:styleId="Revisin">
    <w:name w:val="Revision"/>
    <w:hidden/>
    <w:uiPriority w:val="99"/>
    <w:semiHidden/>
    <w:rsid w:val="00BB2DC5"/>
    <w:rPr>
      <w:lang w:val="es-ES_tradnl"/>
    </w:rPr>
  </w:style>
</w:styles>
</file>

<file path=word/webSettings.xml><?xml version="1.0" encoding="utf-8"?>
<w:webSettings xmlns:r="http://schemas.openxmlformats.org/officeDocument/2006/relationships" xmlns:w="http://schemas.openxmlformats.org/wordprocessingml/2006/main">
  <w:divs>
    <w:div w:id="640429840">
      <w:bodyDiv w:val="1"/>
      <w:marLeft w:val="0"/>
      <w:marRight w:val="0"/>
      <w:marTop w:val="0"/>
      <w:marBottom w:val="0"/>
      <w:divBdr>
        <w:top w:val="none" w:sz="0" w:space="0" w:color="auto"/>
        <w:left w:val="none" w:sz="0" w:space="0" w:color="auto"/>
        <w:bottom w:val="none" w:sz="0" w:space="0" w:color="auto"/>
        <w:right w:val="none" w:sz="0" w:space="0" w:color="auto"/>
      </w:divBdr>
    </w:div>
    <w:div w:id="21349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MEMBRETE%20JUNTA%20CONSULTIV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0F00C-C86D-4A3D-BF96-B7B5E8EF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JUNTA CONSULTIVA</Template>
  <TotalTime>11</TotalTime>
  <Pages>4</Pages>
  <Words>1407</Words>
  <Characters>7184</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Expte</vt:lpstr>
    </vt:vector>
  </TitlesOfParts>
  <Company>Ministerio de Hacienda</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Expte</dc:title>
  <dc:creator>ALFONSO RUIZ DE CASTAÑEDA;Miguel Pardo</dc:creator>
  <cp:keywords>Modelo</cp:keywords>
  <cp:lastModifiedBy>Miguel Pardo</cp:lastModifiedBy>
  <cp:revision>3</cp:revision>
  <cp:lastPrinted>2008-03-05T12:26:00Z</cp:lastPrinted>
  <dcterms:created xsi:type="dcterms:W3CDTF">2018-02-20T10:47:00Z</dcterms:created>
  <dcterms:modified xsi:type="dcterms:W3CDTF">2018-02-21T11:28:00Z</dcterms:modified>
</cp:coreProperties>
</file>