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6DA1" w14:textId="35F86A55" w:rsidR="00D74545" w:rsidRPr="00F43809" w:rsidRDefault="005F06AD" w:rsidP="005F06AD">
      <w:pPr>
        <w:spacing w:line="360" w:lineRule="auto"/>
        <w:jc w:val="both"/>
        <w:rPr>
          <w:b/>
          <w:bCs/>
        </w:rPr>
      </w:pPr>
      <w:r w:rsidRPr="00F43809">
        <w:rPr>
          <w:b/>
          <w:bCs/>
        </w:rPr>
        <w:t>Ofertas simbólicas o a precio cero en contratos públicos: disparidad de criterios de los tribunales administrativos de recursos contractuales</w:t>
      </w:r>
    </w:p>
    <w:p w14:paraId="4608CCB5" w14:textId="6E1FB236" w:rsidR="5E4DC779" w:rsidRPr="00B13EB9" w:rsidRDefault="005F06AD" w:rsidP="00B13EB9">
      <w:pPr>
        <w:pBdr>
          <w:bottom w:val="single" w:sz="6" w:space="1" w:color="auto"/>
        </w:pBdr>
        <w:jc w:val="both"/>
        <w:rPr>
          <w:b/>
          <w:color w:val="87133F"/>
          <w:sz w:val="24"/>
        </w:rPr>
      </w:pPr>
      <w:r w:rsidRPr="00F43809">
        <w:rPr>
          <w:b/>
          <w:bCs/>
        </w:rPr>
        <w:t>Las ofertas simbólicas, a precio cero o cercano, a pesar de ser una técnica cada vez más común en las licitaciones públicas, sigue</w:t>
      </w:r>
      <w:r w:rsidR="00AD731C" w:rsidRPr="00F43809">
        <w:rPr>
          <w:b/>
          <w:bCs/>
        </w:rPr>
        <w:t>n</w:t>
      </w:r>
      <w:r w:rsidRPr="00F43809">
        <w:rPr>
          <w:b/>
          <w:bCs/>
        </w:rPr>
        <w:t xml:space="preserve"> provocando resoluciones de los tribunales administrativos de recursos contractuales analizando su validez y sus consecuencias, con resultados dispares dependiendo la casuística concreta y, en gran medida, del tribunal territorialmente competente para resolver el recurso especial en materia de contratación. </w:t>
      </w:r>
    </w:p>
    <w:p w14:paraId="1A3468C8" w14:textId="77777777" w:rsidR="00B13EB9" w:rsidRDefault="00B13EB9" w:rsidP="00B13EB9">
      <w:pPr>
        <w:pBdr>
          <w:bottom w:val="single" w:sz="6" w:space="1" w:color="auto"/>
        </w:pBdr>
        <w:jc w:val="both"/>
        <w:rPr>
          <w:b/>
          <w:color w:val="87133F"/>
          <w:sz w:val="24"/>
        </w:rPr>
      </w:pPr>
    </w:p>
    <w:p w14:paraId="0844DED5" w14:textId="77777777" w:rsidR="00B13EB9" w:rsidRDefault="005F06AD" w:rsidP="00B13EB9">
      <w:pPr>
        <w:pBdr>
          <w:bottom w:val="single" w:sz="6" w:space="1" w:color="auto"/>
        </w:pBdr>
        <w:jc w:val="both"/>
        <w:rPr>
          <w:b/>
          <w:color w:val="87133F"/>
          <w:sz w:val="24"/>
        </w:rPr>
      </w:pPr>
      <w:r w:rsidRPr="005F06AD">
        <w:rPr>
          <w:rFonts w:eastAsia="Times New Roman" w:cstheme="minorHAnsi"/>
          <w:lang w:eastAsia="es-ES_tradnl"/>
        </w:rPr>
        <w:t>¿Puede un licitador resultar adjudicatario de un contrato público en el que ha ofertado un precio cero?, ¿debe ser excluido por considerar que ha incurrido en fraude de ley?, ¿qué pueden hacer los órganos de contratación para evitar esta situación?, ¿deben entrar los tribunales administrativos de recursos contractuales a interpretar los pliegos para dirimir esta cuestión?</w:t>
      </w:r>
    </w:p>
    <w:p w14:paraId="2770C441"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 xml:space="preserve">Estas son algunas de las muchas preguntas que suscita en contratación pública la problemática de las llamadas </w:t>
      </w:r>
      <w:r w:rsidRPr="005F06AD">
        <w:rPr>
          <w:rFonts w:eastAsia="Times New Roman" w:cstheme="minorHAnsi"/>
          <w:u w:val="single"/>
          <w:lang w:eastAsia="es-ES_tradnl"/>
        </w:rPr>
        <w:t>ofertas simbólicas</w:t>
      </w:r>
      <w:r w:rsidRPr="005F06AD">
        <w:rPr>
          <w:rFonts w:eastAsia="Times New Roman" w:cstheme="minorHAnsi"/>
          <w:lang w:eastAsia="es-ES_tradnl"/>
        </w:rPr>
        <w:t xml:space="preserve">, </w:t>
      </w:r>
      <w:r w:rsidRPr="005F06AD">
        <w:rPr>
          <w:rFonts w:eastAsia="Times New Roman" w:cstheme="minorHAnsi"/>
          <w:u w:val="single"/>
          <w:lang w:eastAsia="es-ES_tradnl"/>
        </w:rPr>
        <w:t>a precio cero</w:t>
      </w:r>
      <w:r w:rsidRPr="005F06AD">
        <w:rPr>
          <w:rFonts w:eastAsia="Times New Roman" w:cstheme="minorHAnsi"/>
          <w:lang w:eastAsia="es-ES_tradnl"/>
        </w:rPr>
        <w:t xml:space="preserve"> o </w:t>
      </w:r>
      <w:r w:rsidRPr="005F06AD">
        <w:rPr>
          <w:rFonts w:eastAsia="Times New Roman" w:cstheme="minorHAnsi"/>
          <w:u w:val="single"/>
          <w:lang w:eastAsia="es-ES_tradnl"/>
        </w:rPr>
        <w:t>cercano</w:t>
      </w:r>
      <w:r w:rsidRPr="005F06AD">
        <w:rPr>
          <w:rFonts w:eastAsia="Times New Roman" w:cstheme="minorHAnsi"/>
          <w:lang w:eastAsia="es-ES_tradnl"/>
        </w:rPr>
        <w:t xml:space="preserve">. </w:t>
      </w:r>
    </w:p>
    <w:p w14:paraId="7CEF83FF"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Lo cierto es que la Ley 9/2017, de Contratos del Sector Público (LCSP) no prohíbe este tipo de ofertas</w:t>
      </w:r>
      <w:r w:rsidRPr="005F06AD">
        <w:rPr>
          <w:rFonts w:eastAsia="Times New Roman" w:cstheme="minorHAnsi"/>
          <w:vertAlign w:val="superscript"/>
          <w:lang w:eastAsia="es-ES_tradnl"/>
        </w:rPr>
        <w:footnoteReference w:id="1"/>
      </w:r>
      <w:r w:rsidRPr="005F06AD">
        <w:rPr>
          <w:rFonts w:eastAsia="Times New Roman" w:cstheme="minorHAnsi"/>
          <w:lang w:eastAsia="es-ES_tradnl"/>
        </w:rPr>
        <w:t xml:space="preserve">. Esto, junto con un comportamiento cada vez más agresivo por parte de los licitadores, derivado de un mercado cada vez más competitivo, ha llevado a un aumento de la presentación de ofertas simbólicas e, inevitablemente, también a un aumento </w:t>
      </w:r>
      <w:bookmarkStart w:id="0" w:name="_Hlk154499303"/>
      <w:r w:rsidRPr="005F06AD">
        <w:rPr>
          <w:rFonts w:eastAsia="Times New Roman" w:cstheme="minorHAnsi"/>
          <w:lang w:eastAsia="es-ES_tradnl"/>
        </w:rPr>
        <w:t>en las resoluciones de los tribunales administrativos de recursos contractuales analizando la validez de este tipo ofertas y sus consecuencias</w:t>
      </w:r>
      <w:bookmarkEnd w:id="0"/>
      <w:r w:rsidRPr="005F06AD">
        <w:rPr>
          <w:rFonts w:eastAsia="Times New Roman" w:cstheme="minorHAnsi"/>
          <w:lang w:eastAsia="es-ES_tradnl"/>
        </w:rPr>
        <w:t>. Pronunciamientos que han ido evolucionando para dar respuesta a las diferentes casuísticas y que han dado lugar a numerosos artículos y comentarios de especialistas en materia de contratación pública</w:t>
      </w:r>
      <w:r w:rsidRPr="005F06AD">
        <w:rPr>
          <w:rFonts w:eastAsia="Times New Roman" w:cstheme="minorHAnsi"/>
          <w:vertAlign w:val="superscript"/>
          <w:lang w:eastAsia="es-ES_tradnl"/>
        </w:rPr>
        <w:footnoteReference w:id="2"/>
      </w:r>
      <w:r w:rsidRPr="005F06AD">
        <w:rPr>
          <w:rFonts w:eastAsia="Times New Roman" w:cstheme="minorHAnsi"/>
          <w:lang w:eastAsia="es-ES_tradnl"/>
        </w:rPr>
        <w:t>.</w:t>
      </w:r>
    </w:p>
    <w:p w14:paraId="3606D1F1"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El objeto del presente trabajo es tratar de resumir la problemática que surge ante la presentación de estas ofertas simbólicas en los procedimientos de contratación pública, analizando las últimas resoluciones que se han venido dictando y haciendo hincapié en la diferencia de criterios por parte de los tribunales administrativos de recursos contractuales.</w:t>
      </w:r>
    </w:p>
    <w:p w14:paraId="4EEF1749"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En el procedimiento de adjudicación de un contrato público, el presupuesto base de licitación opera como límite máximo del precio a ofertar por los licitadores. Sin embargo, la LCSP no establece límites mínimos. En efecto, en su artículo 102, la LCSP</w:t>
      </w:r>
      <w:r w:rsidRPr="005F06AD">
        <w:rPr>
          <w:rFonts w:eastAsia="Times New Roman" w:cstheme="minorHAnsi"/>
          <w:vertAlign w:val="superscript"/>
          <w:lang w:eastAsia="es-ES_tradnl"/>
        </w:rPr>
        <w:footnoteReference w:id="3"/>
      </w:r>
      <w:r w:rsidRPr="005F06AD">
        <w:rPr>
          <w:rFonts w:eastAsia="Times New Roman" w:cstheme="minorHAnsi"/>
          <w:lang w:eastAsia="es-ES_tradnl"/>
        </w:rPr>
        <w:t xml:space="preserve"> configura el precio del contrato público de manera abierta, dejando en manos del órgano de contratación, mediante la elaboración de los pliegos y en el ejercicio de su potestad discrecional, la posibilidad de </w:t>
      </w:r>
      <w:r w:rsidRPr="005F06AD">
        <w:rPr>
          <w:rFonts w:eastAsia="Times New Roman" w:cstheme="minorHAnsi"/>
          <w:lang w:eastAsia="es-ES_tradnl"/>
        </w:rPr>
        <w:lastRenderedPageBreak/>
        <w:t>establecer diferentes limitaciones y exigencias al elemento del precio, bajo el paraguas del principio de la selección de la oferta económicamente más ventajosa</w:t>
      </w:r>
      <w:r w:rsidRPr="005F06AD">
        <w:rPr>
          <w:rFonts w:eastAsia="Times New Roman" w:cstheme="minorHAnsi"/>
          <w:vertAlign w:val="superscript"/>
          <w:lang w:eastAsia="es-ES_tradnl"/>
        </w:rPr>
        <w:footnoteReference w:id="4"/>
      </w:r>
      <w:r w:rsidRPr="005F06AD">
        <w:rPr>
          <w:rFonts w:eastAsia="Times New Roman" w:cstheme="minorHAnsi"/>
          <w:lang w:eastAsia="es-ES_tradnl"/>
        </w:rPr>
        <w:t xml:space="preserve">. </w:t>
      </w:r>
    </w:p>
    <w:p w14:paraId="1085801A"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Y es esta precisamente la raíz de la problemática, ya que, en la mayoría de las ocasiones, los órganos de contratación configuran en los pliegos tanto el elemento del precio como los mecanismos para su valoración sin prever</w:t>
      </w:r>
      <w:r w:rsidRPr="005F06AD">
        <w:rPr>
          <w:rFonts w:eastAsia="Times New Roman" w:cstheme="minorHAnsi"/>
          <w:b/>
          <w:lang w:eastAsia="es-ES_tradnl"/>
        </w:rPr>
        <w:t xml:space="preserve"> límites mínimos absolutos</w:t>
      </w:r>
      <w:r w:rsidRPr="005F06AD">
        <w:rPr>
          <w:rFonts w:eastAsia="Times New Roman" w:cstheme="minorHAnsi"/>
          <w:b/>
          <w:vertAlign w:val="superscript"/>
          <w:lang w:eastAsia="es-ES_tradnl"/>
        </w:rPr>
        <w:footnoteReference w:id="5"/>
      </w:r>
      <w:r w:rsidRPr="005F06AD">
        <w:rPr>
          <w:rFonts w:eastAsia="Times New Roman" w:cstheme="minorHAnsi"/>
          <w:b/>
          <w:lang w:eastAsia="es-ES_tradnl"/>
        </w:rPr>
        <w:t xml:space="preserve"> </w:t>
      </w:r>
      <w:r w:rsidRPr="005F06AD">
        <w:rPr>
          <w:rFonts w:eastAsia="Times New Roman" w:cstheme="minorHAnsi"/>
          <w:lang w:eastAsia="es-ES_tradnl"/>
        </w:rPr>
        <w:t>(distintos de la previsión de fórmulas para el cálculo de umbrales de temeridad)</w:t>
      </w:r>
      <w:r w:rsidRPr="005F06AD">
        <w:rPr>
          <w:rFonts w:eastAsia="Times New Roman" w:cstheme="minorHAnsi"/>
          <w:bCs/>
          <w:lang w:eastAsia="es-ES_tradnl"/>
        </w:rPr>
        <w:t>,</w:t>
      </w:r>
      <w:r w:rsidRPr="005F06AD">
        <w:rPr>
          <w:rFonts w:eastAsia="Times New Roman" w:cstheme="minorHAnsi"/>
          <w:lang w:eastAsia="es-ES_tradnl"/>
        </w:rPr>
        <w:t xml:space="preserve"> lo que permite a los licitadores, cuando existen distintos precios, formular una parte de sus ofertas proponiendo precios de cero o cercanos a cero, rentabilizando los costes asociados a unas contraprestaciones con otras que estiman globalmente lucrativas, y asumiendo el riesgo de que, finalmente, no lo sean.</w:t>
      </w:r>
      <w:r w:rsidRPr="005F06AD">
        <w:rPr>
          <w:rFonts w:eastAsia="Times New Roman" w:cstheme="minorHAnsi"/>
          <w:b/>
          <w:lang w:eastAsia="es-ES_tradnl"/>
        </w:rPr>
        <w:t xml:space="preserve"> </w:t>
      </w:r>
    </w:p>
    <w:p w14:paraId="7DA8EF34"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Esta ausencia de restricciones a la baja de los precios, unida a fórmulas matemáticas de valoración del criterio “</w:t>
      </w:r>
      <w:r w:rsidRPr="00CE635C">
        <w:rPr>
          <w:rFonts w:eastAsia="Times New Roman" w:cstheme="minorHAnsi"/>
          <w:i/>
          <w:iCs/>
          <w:lang w:eastAsia="es-ES_tradnl"/>
        </w:rPr>
        <w:t>oferta económica</w:t>
      </w:r>
      <w:r w:rsidRPr="005F06AD">
        <w:rPr>
          <w:rFonts w:eastAsia="Times New Roman" w:cstheme="minorHAnsi"/>
          <w:lang w:eastAsia="es-ES_tradnl"/>
        </w:rPr>
        <w:t xml:space="preserve">” previstas en los pliegos que hacen depender la puntuación del resto de los licitadores del menor de los precios ofertados, desemboca en que sean las ofertas a cero o cercanas a cero las que consigan la mayor puntuación, mientras que el resto obtienen cero puntos o un resultado indeterminado. Es decir, conduce a un resultado que no permite la ordenación y puntuación proporcional de las ofertas debido a que en la fórmula para puntuar el resto de las ofertas se tiene en cuenta el menor precio ofertado (cero o cercano a cero).  </w:t>
      </w:r>
    </w:p>
    <w:p w14:paraId="256B1275"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 xml:space="preserve">Y es a partir de aquí que los órganos de contratación se sienten obligados a no adjudicar el contrato, al desistimiento del procedimiento o, en el mejor de los casos, a interpretar los pliegos e incluso a crear soluciones </w:t>
      </w:r>
      <w:r w:rsidRPr="005F06AD">
        <w:rPr>
          <w:rFonts w:eastAsia="Times New Roman" w:cstheme="minorHAnsi"/>
          <w:i/>
          <w:iCs/>
          <w:lang w:eastAsia="es-ES_tradnl"/>
        </w:rPr>
        <w:t>ad hoc</w:t>
      </w:r>
      <w:r w:rsidRPr="005F06AD">
        <w:rPr>
          <w:rFonts w:eastAsia="Times New Roman" w:cstheme="minorHAnsi"/>
          <w:lang w:eastAsia="es-ES_tradnl"/>
        </w:rPr>
        <w:t xml:space="preserve"> para salvar la situación, lo que produce, a su vez, la reacción impugnatoria de los licitadores no adjudicatarios.</w:t>
      </w:r>
    </w:p>
    <w:p w14:paraId="66ECC94A" w14:textId="77777777" w:rsidR="00DF370E" w:rsidRDefault="005F06AD" w:rsidP="00DF370E">
      <w:pPr>
        <w:pBdr>
          <w:bottom w:val="single" w:sz="6" w:space="1" w:color="auto"/>
        </w:pBdr>
        <w:jc w:val="both"/>
        <w:rPr>
          <w:b/>
          <w:color w:val="87133F"/>
          <w:sz w:val="24"/>
        </w:rPr>
      </w:pPr>
      <w:r w:rsidRPr="005F06AD">
        <w:rPr>
          <w:rFonts w:eastAsia="Times New Roman" w:cstheme="minorHAnsi"/>
          <w:lang w:eastAsia="es-ES_tradnl"/>
        </w:rPr>
        <w:t xml:space="preserve">El debate jurídico en relación con la admisibilidad de las ofertas simbólicas o a precio cero terminó de aflorar con la sentencia del Tribunal de Justicia de la Unión Europea (TJUE), Sala Cuarta, de 10 de septiembre de 2020 (asunto C-367/2019), en la que se declaró que, en principio, nada obsta a aceptar la conformidad a Derecho de dicha práctica, pues este tipo de ofertas </w:t>
      </w:r>
      <w:r w:rsidRPr="005F06AD">
        <w:rPr>
          <w:rFonts w:eastAsia="Times New Roman" w:cstheme="minorHAnsi"/>
          <w:b/>
          <w:bCs/>
          <w:lang w:eastAsia="es-ES_tradnl"/>
        </w:rPr>
        <w:t>no necesariamente vulneran el principio de onerosidad</w:t>
      </w:r>
      <w:r w:rsidRPr="005F06AD">
        <w:rPr>
          <w:rFonts w:eastAsia="Times New Roman" w:cstheme="minorHAnsi"/>
          <w:lang w:eastAsia="es-ES_tradnl"/>
        </w:rPr>
        <w:t xml:space="preserve"> que ha de regir en todo contrato público, </w:t>
      </w:r>
      <w:r w:rsidRPr="005F06AD">
        <w:rPr>
          <w:rFonts w:eastAsia="Times New Roman" w:cstheme="minorHAnsi"/>
          <w:b/>
          <w:bCs/>
          <w:lang w:eastAsia="es-ES_tradnl"/>
        </w:rPr>
        <w:t>sino que estas deberían ser analizadas desde la óptica de las ofertas anormalmente bajas</w:t>
      </w:r>
      <w:r w:rsidRPr="005F06AD">
        <w:rPr>
          <w:rFonts w:eastAsia="Times New Roman" w:cstheme="minorHAnsi"/>
          <w:lang w:eastAsia="es-ES_tradnl"/>
        </w:rPr>
        <w:t xml:space="preserve">. Sobre la base de dicho pronunciamiento del TJUE, la doctrina ha venido interpretando que podría ser admisible que los licitadores ofertaran un precio de cero o simbólico para algunas de los elementos de la prestación objeto del contrato </w:t>
      </w:r>
      <w:r w:rsidRPr="005F06AD">
        <w:rPr>
          <w:rFonts w:eastAsia="Times New Roman" w:cstheme="minorHAnsi"/>
          <w:b/>
          <w:bCs/>
          <w:lang w:eastAsia="es-ES_tradnl"/>
        </w:rPr>
        <w:t>siempre y cuando la retribución del contratista por aquella contraprestación se compense con cargo al precio general del contrato</w:t>
      </w:r>
      <w:r w:rsidRPr="005F06AD">
        <w:rPr>
          <w:rFonts w:eastAsia="Times New Roman" w:cstheme="minorHAnsi"/>
          <w:b/>
          <w:bCs/>
          <w:vertAlign w:val="superscript"/>
          <w:lang w:eastAsia="es-ES_tradnl"/>
        </w:rPr>
        <w:footnoteReference w:id="6"/>
      </w:r>
      <w:r w:rsidRPr="005F06AD">
        <w:rPr>
          <w:rFonts w:eastAsia="Times New Roman" w:cstheme="minorHAnsi"/>
          <w:lang w:eastAsia="es-ES_tradnl"/>
        </w:rPr>
        <w:t xml:space="preserve">. </w:t>
      </w:r>
    </w:p>
    <w:p w14:paraId="74B3CC12" w14:textId="4D5C3F14" w:rsidR="005F06AD" w:rsidRPr="00DF370E" w:rsidRDefault="005F06AD" w:rsidP="00DF370E">
      <w:pPr>
        <w:pBdr>
          <w:bottom w:val="single" w:sz="6" w:space="1" w:color="auto"/>
        </w:pBdr>
        <w:jc w:val="both"/>
        <w:rPr>
          <w:b/>
          <w:color w:val="87133F"/>
          <w:sz w:val="24"/>
        </w:rPr>
      </w:pPr>
      <w:r w:rsidRPr="005F06AD">
        <w:rPr>
          <w:rFonts w:eastAsia="Times New Roman" w:cstheme="minorHAnsi"/>
          <w:lang w:eastAsia="es-ES_tradnl"/>
        </w:rPr>
        <w:t xml:space="preserve">Lejos de unificar u homogeneizar los criterios para poner remedio a esta problemática, la sentencia del TJUE alentó la diversidad de soluciones a adoptar tanto por parte de los órganos de contratación como de los tribunales administrativos de recursos contractuales (en cuyo ámbito la discrepancia cobra mayor relevancia). </w:t>
      </w:r>
    </w:p>
    <w:p w14:paraId="30A8BA70"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lastRenderedPageBreak/>
        <w:t xml:space="preserve">Con carácter general, los tribunales administrativos de recursos contractuales coinciden en admitir la posibilidad de que los licitadores realicen proposiciones de este tipo cuando el objeto del contrato está constituido por una </w:t>
      </w:r>
      <w:r w:rsidRPr="005F06AD">
        <w:rPr>
          <w:rFonts w:eastAsia="Times New Roman" w:cstheme="minorHAnsi"/>
          <w:b/>
          <w:bCs/>
          <w:lang w:eastAsia="es-ES_tradnl"/>
        </w:rPr>
        <w:t xml:space="preserve">única prestación </w:t>
      </w:r>
      <w:r w:rsidRPr="005F06AD">
        <w:rPr>
          <w:rFonts w:eastAsia="Times New Roman" w:cstheme="minorHAnsi"/>
          <w:lang w:eastAsia="es-ES_tradnl"/>
        </w:rPr>
        <w:t>(además de</w:t>
      </w:r>
      <w:r w:rsidRPr="005F06AD">
        <w:rPr>
          <w:rFonts w:eastAsia="Times New Roman" w:cstheme="minorHAnsi"/>
          <w:b/>
          <w:bCs/>
          <w:lang w:eastAsia="es-ES_tradnl"/>
        </w:rPr>
        <w:t xml:space="preserve"> </w:t>
      </w:r>
      <w:r w:rsidRPr="005F06AD">
        <w:rPr>
          <w:rFonts w:eastAsia="Times New Roman" w:cstheme="minorHAnsi"/>
          <w:lang w:eastAsia="es-ES_tradnl"/>
        </w:rPr>
        <w:t>cuando los pliegos lo permiten expresamente</w:t>
      </w:r>
      <w:r w:rsidRPr="005F06AD">
        <w:rPr>
          <w:rFonts w:eastAsia="Times New Roman" w:cstheme="minorHAnsi"/>
          <w:vertAlign w:val="superscript"/>
          <w:lang w:eastAsia="es-ES_tradnl"/>
        </w:rPr>
        <w:footnoteReference w:id="7"/>
      </w:r>
      <w:r w:rsidRPr="005F06AD">
        <w:rPr>
          <w:rFonts w:eastAsia="Times New Roman" w:cstheme="minorHAnsi"/>
          <w:lang w:eastAsia="es-ES_tradnl"/>
        </w:rPr>
        <w:t xml:space="preserve">). En concreto, en estos casos, se permite la oferta gratuita o casi gratuita de una parte de la prestación, por cuanto que los costes de los servicios (o suministros) ofertados a dicho precio pueden considerarse incluidos en el precio global del contrato. </w:t>
      </w:r>
    </w:p>
    <w:p w14:paraId="540523BE"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Sin embargo, cuando el objeto del contrato se compone de </w:t>
      </w:r>
      <w:r w:rsidRPr="005F06AD">
        <w:rPr>
          <w:rFonts w:eastAsia="Times New Roman" w:cstheme="minorHAnsi"/>
          <w:b/>
          <w:lang w:eastAsia="es-ES_tradnl"/>
        </w:rPr>
        <w:t>diferentes prestaciones independientes y con sustantividad propia</w:t>
      </w:r>
      <w:r w:rsidRPr="005F06AD">
        <w:rPr>
          <w:rFonts w:eastAsia="Times New Roman" w:cstheme="minorHAnsi"/>
          <w:bCs/>
          <w:lang w:eastAsia="es-ES_tradnl"/>
        </w:rPr>
        <w:t xml:space="preserve">, </w:t>
      </w:r>
      <w:r w:rsidRPr="005F06AD">
        <w:rPr>
          <w:rFonts w:eastAsia="Times New Roman" w:cstheme="minorHAnsi"/>
          <w:lang w:eastAsia="es-ES_tradnl"/>
        </w:rPr>
        <w:t xml:space="preserve">para las que deben presentarse ofertas económicas diferenciadas, la conclusión anterior resulta más discutible, por la posible concurrencia de </w:t>
      </w:r>
      <w:r w:rsidRPr="005F06AD">
        <w:rPr>
          <w:rFonts w:eastAsia="Times New Roman" w:cstheme="minorHAnsi"/>
          <w:b/>
          <w:bCs/>
          <w:lang w:eastAsia="es-ES_tradnl"/>
        </w:rPr>
        <w:t>fraude de ley</w:t>
      </w:r>
      <w:r w:rsidRPr="005F06AD">
        <w:rPr>
          <w:rFonts w:eastAsia="Times New Roman" w:cstheme="minorHAnsi"/>
          <w:lang w:eastAsia="es-ES_tradnl"/>
        </w:rPr>
        <w:t xml:space="preserve"> (artículo 6.4 del código Civil) en la formulación de la oferta (particularmente ilustrativos resultan, a este respecto, los trabajos de Sanmartín Mora</w:t>
      </w:r>
      <w:r w:rsidRPr="005F06AD">
        <w:rPr>
          <w:rFonts w:eastAsia="Times New Roman" w:cstheme="minorHAnsi"/>
          <w:vertAlign w:val="superscript"/>
          <w:lang w:eastAsia="es-ES_tradnl"/>
        </w:rPr>
        <w:footnoteReference w:id="8"/>
      </w:r>
      <w:r w:rsidRPr="005F06AD">
        <w:rPr>
          <w:rFonts w:eastAsia="Times New Roman" w:cstheme="minorHAnsi"/>
          <w:lang w:eastAsia="es-ES_tradnl"/>
        </w:rPr>
        <w:t xml:space="preserve"> y Blázquez </w:t>
      </w:r>
      <w:proofErr w:type="spellStart"/>
      <w:r w:rsidRPr="005F06AD">
        <w:rPr>
          <w:rFonts w:eastAsia="Times New Roman" w:cstheme="minorHAnsi"/>
          <w:lang w:eastAsia="es-ES_tradnl"/>
        </w:rPr>
        <w:t>Lidoy</w:t>
      </w:r>
      <w:proofErr w:type="spellEnd"/>
      <w:r w:rsidRPr="005F06AD">
        <w:rPr>
          <w:rFonts w:eastAsia="Times New Roman" w:cstheme="minorHAnsi"/>
          <w:vertAlign w:val="superscript"/>
          <w:lang w:eastAsia="es-ES_tradnl"/>
        </w:rPr>
        <w:footnoteReference w:id="9"/>
      </w:r>
      <w:r w:rsidRPr="005F06AD">
        <w:rPr>
          <w:rFonts w:eastAsia="Times New Roman" w:cstheme="minorHAnsi"/>
          <w:lang w:eastAsia="es-ES_tradnl"/>
        </w:rPr>
        <w:t xml:space="preserve">). </w:t>
      </w:r>
    </w:p>
    <w:p w14:paraId="64390DAF"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Así, la doctrina general del Tribunal Administrativo Central de Recursos Contractuales (TACRC) se fundamenta en que el objeto del contrato se compone de prestaciones con sustantividad propia cuando </w:t>
      </w:r>
      <w:r w:rsidRPr="005F06AD">
        <w:rPr>
          <w:rFonts w:eastAsia="Times New Roman" w:cstheme="minorHAnsi"/>
          <w:bCs/>
          <w:lang w:eastAsia="es-ES_tradnl"/>
        </w:rPr>
        <w:t>tales prestaciones requieren, de modo específico y exclusivo, la organización de medios materiales, humanos o ambos para poder ser llevada a efecto, esto es, cuando requieren de una ordenación autónoma de medios que conllevan costes específicamente atribuibles a tales prestaciones</w:t>
      </w:r>
      <w:r w:rsidRPr="005F06AD">
        <w:rPr>
          <w:rFonts w:eastAsia="Times New Roman" w:cstheme="minorHAnsi"/>
          <w:bCs/>
          <w:vertAlign w:val="superscript"/>
          <w:lang w:eastAsia="es-ES_tradnl"/>
        </w:rPr>
        <w:footnoteReference w:id="10"/>
      </w:r>
      <w:r w:rsidRPr="005F06AD">
        <w:rPr>
          <w:rFonts w:eastAsia="Times New Roman" w:cstheme="minorHAnsi"/>
          <w:bCs/>
          <w:lang w:eastAsia="es-ES_tradnl"/>
        </w:rPr>
        <w:t xml:space="preserve">. </w:t>
      </w:r>
    </w:p>
    <w:p w14:paraId="7BCECE5C"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A mayor abundamiento, la doctrina del TACRC parte de la premisa de que </w:t>
      </w:r>
      <w:r w:rsidRPr="005F06AD">
        <w:rPr>
          <w:rFonts w:eastAsia="Times New Roman" w:cstheme="minorHAnsi"/>
          <w:b/>
          <w:lang w:eastAsia="es-ES_tradnl"/>
        </w:rPr>
        <w:t>la concurrencia de fraude de ley en la presentación de una oferta simbólica es una cuestión eminentemente casuística</w:t>
      </w:r>
      <w:r w:rsidRPr="005F06AD">
        <w:rPr>
          <w:rFonts w:eastAsia="Times New Roman" w:cstheme="minorHAnsi"/>
          <w:lang w:eastAsia="es-ES_tradnl"/>
        </w:rPr>
        <w:t>, en función de las circunstancias concurrentes en cada supuesto</w:t>
      </w:r>
      <w:r w:rsidRPr="005F06AD">
        <w:rPr>
          <w:rFonts w:eastAsia="Times New Roman" w:cstheme="minorHAnsi"/>
          <w:vertAlign w:val="superscript"/>
          <w:lang w:eastAsia="es-ES_tradnl"/>
        </w:rPr>
        <w:footnoteReference w:id="11"/>
      </w:r>
      <w:r w:rsidRPr="005F06AD">
        <w:rPr>
          <w:rFonts w:eastAsia="Times New Roman" w:cstheme="minorHAnsi"/>
          <w:lang w:eastAsia="es-ES_tradnl"/>
        </w:rPr>
        <w:t xml:space="preserve">. </w:t>
      </w:r>
    </w:p>
    <w:p w14:paraId="47CF8CD1"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Sin embargo, existen supuestos en los que la controversia se hace más patente y que se corresponden con contratos en los que la delimitación de la existencia de una o varias prestaciones o de la imputación de los costes asociados a una de ellas a las otras resulta difusa. Y esto se produce, generalmente, (i) cuando las prestaciones que integran el contrato se retribuyen con arreglo a un sistema de precios unitarios, (</w:t>
      </w:r>
      <w:proofErr w:type="spellStart"/>
      <w:r w:rsidRPr="005F06AD">
        <w:rPr>
          <w:rFonts w:eastAsia="Times New Roman" w:cstheme="minorHAnsi"/>
          <w:lang w:eastAsia="es-ES_tradnl"/>
        </w:rPr>
        <w:t>ii</w:t>
      </w:r>
      <w:proofErr w:type="spellEnd"/>
      <w:r w:rsidRPr="005F06AD">
        <w:rPr>
          <w:rFonts w:eastAsia="Times New Roman" w:cstheme="minorHAnsi"/>
          <w:lang w:eastAsia="es-ES_tradnl"/>
        </w:rPr>
        <w:t xml:space="preserve">) cuando deben presentarse precios diferenciados para la prestación principal del contrato y para los servicios accesorios o </w:t>
      </w:r>
      <w:r w:rsidRPr="005F06AD">
        <w:rPr>
          <w:rFonts w:eastAsia="Times New Roman" w:cstheme="minorHAnsi"/>
          <w:lang w:eastAsia="es-ES_tradnl"/>
        </w:rPr>
        <w:lastRenderedPageBreak/>
        <w:t>complementarios</w:t>
      </w:r>
      <w:r w:rsidRPr="005F06AD">
        <w:rPr>
          <w:rFonts w:eastAsia="Times New Roman" w:cstheme="minorHAnsi"/>
          <w:vertAlign w:val="superscript"/>
          <w:lang w:eastAsia="es-ES_tradnl"/>
        </w:rPr>
        <w:footnoteReference w:id="12"/>
      </w:r>
      <w:r w:rsidRPr="005F06AD">
        <w:rPr>
          <w:rFonts w:eastAsia="Times New Roman" w:cstheme="minorHAnsi"/>
          <w:lang w:eastAsia="es-ES_tradnl"/>
        </w:rPr>
        <w:t xml:space="preserve"> y (</w:t>
      </w:r>
      <w:proofErr w:type="spellStart"/>
      <w:r w:rsidRPr="005F06AD">
        <w:rPr>
          <w:rFonts w:eastAsia="Times New Roman" w:cstheme="minorHAnsi"/>
          <w:lang w:eastAsia="es-ES_tradnl"/>
        </w:rPr>
        <w:t>iii</w:t>
      </w:r>
      <w:proofErr w:type="spellEnd"/>
      <w:r w:rsidRPr="005F06AD">
        <w:rPr>
          <w:rFonts w:eastAsia="Times New Roman" w:cstheme="minorHAnsi"/>
          <w:lang w:eastAsia="es-ES_tradnl"/>
        </w:rPr>
        <w:t>) cuando la oferta económica prevé una doble retribución mediante un precio fijo y un precio variable</w:t>
      </w:r>
      <w:r w:rsidRPr="005F06AD">
        <w:rPr>
          <w:rFonts w:eastAsia="Times New Roman" w:cstheme="minorHAnsi"/>
          <w:vertAlign w:val="superscript"/>
          <w:lang w:eastAsia="es-ES_tradnl"/>
        </w:rPr>
        <w:footnoteReference w:id="13"/>
      </w:r>
      <w:r w:rsidRPr="005F06AD">
        <w:rPr>
          <w:rFonts w:eastAsia="Times New Roman" w:cstheme="minorHAnsi"/>
          <w:lang w:eastAsia="es-ES_tradnl"/>
        </w:rPr>
        <w:t xml:space="preserve">. </w:t>
      </w:r>
    </w:p>
    <w:p w14:paraId="005A0F43"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Sin perjuicio de que no constituye el objeto del presente análisis, no pueden dejar de señalarse otras problemáticas relacionadas como son las denominadas </w:t>
      </w:r>
      <w:r w:rsidRPr="005F06AD">
        <w:rPr>
          <w:rFonts w:eastAsia="Times New Roman" w:cstheme="minorHAnsi"/>
          <w:u w:val="single"/>
          <w:lang w:eastAsia="es-ES_tradnl"/>
        </w:rPr>
        <w:t>ofertas increíbles (o no creíbles) respecto de aspectos distintos del precio</w:t>
      </w:r>
      <w:r w:rsidRPr="005F06AD">
        <w:rPr>
          <w:rFonts w:eastAsia="Times New Roman" w:cstheme="minorHAnsi"/>
          <w:lang w:eastAsia="es-ES_tradnl"/>
        </w:rPr>
        <w:t xml:space="preserve"> (como puede ser la reducción de tiempos de respuesta) o las denominadas </w:t>
      </w:r>
      <w:r w:rsidRPr="005F06AD">
        <w:rPr>
          <w:rFonts w:eastAsia="Times New Roman" w:cstheme="minorHAnsi"/>
          <w:u w:val="single"/>
          <w:lang w:eastAsia="es-ES_tradnl"/>
        </w:rPr>
        <w:t>ofertas ilusorias o aparentes</w:t>
      </w:r>
      <w:r w:rsidRPr="005F06AD">
        <w:rPr>
          <w:rFonts w:eastAsia="Times New Roman" w:cstheme="minorHAnsi"/>
          <w:lang w:eastAsia="es-ES_tradnl"/>
        </w:rPr>
        <w:t xml:space="preserve"> (por ejemplo, la ampliación del plazo de garantía, la ampliación de la cobertura del seguro de responsabilidad civil, etc.). En este último caso, el TACRC ha venido a concluir que existe fraude de ley cuando la oferta no responde a la “</w:t>
      </w:r>
      <w:r w:rsidRPr="006B40F7">
        <w:rPr>
          <w:rFonts w:eastAsia="Times New Roman" w:cstheme="minorHAnsi"/>
          <w:i/>
          <w:iCs/>
          <w:lang w:eastAsia="es-ES_tradnl"/>
        </w:rPr>
        <w:t>racionalidad económica</w:t>
      </w:r>
      <w:r w:rsidRPr="005F06AD">
        <w:rPr>
          <w:rFonts w:eastAsia="Times New Roman" w:cstheme="minorHAnsi"/>
          <w:lang w:eastAsia="es-ES_tradnl"/>
        </w:rPr>
        <w:t>”, cuestión que se valorará conforme a un juicio técnico, siendo la carga de la prueba de la no concurrencia de esa “</w:t>
      </w:r>
      <w:r w:rsidRPr="006B40F7">
        <w:rPr>
          <w:rFonts w:eastAsia="Times New Roman" w:cstheme="minorHAnsi"/>
          <w:i/>
          <w:iCs/>
          <w:lang w:eastAsia="es-ES_tradnl"/>
        </w:rPr>
        <w:t>racionalidad económica</w:t>
      </w:r>
      <w:r w:rsidRPr="005F06AD">
        <w:rPr>
          <w:rFonts w:eastAsia="Times New Roman" w:cstheme="minorHAnsi"/>
          <w:lang w:eastAsia="es-ES_tradnl"/>
        </w:rPr>
        <w:t>” de quien alega dicho carácter ilusorio</w:t>
      </w:r>
      <w:r w:rsidRPr="005F06AD">
        <w:rPr>
          <w:rFonts w:eastAsia="Times New Roman" w:cstheme="minorHAnsi"/>
          <w:vertAlign w:val="superscript"/>
          <w:lang w:eastAsia="es-ES_tradnl"/>
        </w:rPr>
        <w:footnoteReference w:id="14"/>
      </w:r>
      <w:r w:rsidRPr="005F06AD">
        <w:rPr>
          <w:rFonts w:eastAsia="Times New Roman" w:cstheme="minorHAnsi"/>
          <w:lang w:eastAsia="es-ES_tradnl"/>
        </w:rPr>
        <w:t xml:space="preserve">, en contra de lo que sucede en ofertas simbólicas a la baja o a precio cero que incurran en presunción de anormalidad, en las que es el licitador que presentó la oferta simbólica quien debe justificar su viabilidad. A este respecto, mención específica merecería también la doctrina sobre las </w:t>
      </w:r>
      <w:r w:rsidRPr="005F06AD">
        <w:rPr>
          <w:rFonts w:eastAsia="Times New Roman" w:cstheme="minorHAnsi"/>
          <w:u w:val="single"/>
          <w:lang w:eastAsia="es-ES_tradnl"/>
        </w:rPr>
        <w:t>ofertas ilusorias debido a que los propios pliegos requieren precios para tramos relacionados con determinada prestación que, en la práctica, resulta imposible de que se materialicen</w:t>
      </w:r>
      <w:r w:rsidRPr="005F06AD">
        <w:rPr>
          <w:rFonts w:eastAsia="Times New Roman" w:cstheme="minorHAnsi"/>
          <w:lang w:eastAsia="es-ES_tradnl"/>
        </w:rPr>
        <w:t>, cuestión que generalmente está siendo tachada también como fraudulenta</w:t>
      </w:r>
      <w:r w:rsidRPr="005F06AD">
        <w:rPr>
          <w:rFonts w:eastAsia="Times New Roman" w:cstheme="minorHAnsi"/>
          <w:vertAlign w:val="superscript"/>
          <w:lang w:eastAsia="es-ES_tradnl"/>
        </w:rPr>
        <w:footnoteReference w:id="15"/>
      </w:r>
      <w:r w:rsidRPr="005F06AD">
        <w:rPr>
          <w:rFonts w:eastAsia="Times New Roman" w:cstheme="minorHAnsi"/>
          <w:lang w:eastAsia="es-ES_tradnl"/>
        </w:rPr>
        <w:t xml:space="preserve">. </w:t>
      </w:r>
    </w:p>
    <w:p w14:paraId="1A082EF2" w14:textId="53763454"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Dejando de lado los supuestos especiales anteriores, como se adelantaba, en este trabajo pretendemos poner el foco en la disparidad de criterios en relación con las </w:t>
      </w:r>
      <w:r w:rsidRPr="005F06AD">
        <w:rPr>
          <w:rFonts w:eastAsia="Times New Roman" w:cstheme="minorHAnsi"/>
          <w:u w:val="single"/>
          <w:lang w:eastAsia="es-ES_tradnl"/>
        </w:rPr>
        <w:t>ofertas simbólicas o a precios cero o cercanos</w:t>
      </w:r>
      <w:r w:rsidRPr="006B40F7">
        <w:rPr>
          <w:rFonts w:eastAsia="Times New Roman" w:cstheme="minorHAnsi"/>
          <w:vertAlign w:val="superscript"/>
          <w:lang w:eastAsia="es-ES_tradnl"/>
        </w:rPr>
        <w:footnoteReference w:id="16"/>
      </w:r>
      <w:r w:rsidRPr="006B40F7">
        <w:rPr>
          <w:rFonts w:eastAsia="Times New Roman" w:cstheme="minorHAnsi"/>
          <w:lang w:eastAsia="es-ES_tradnl"/>
        </w:rPr>
        <w:t>,</w:t>
      </w:r>
      <w:r w:rsidRPr="005F06AD">
        <w:rPr>
          <w:rFonts w:eastAsia="Times New Roman" w:cstheme="minorHAnsi"/>
          <w:lang w:eastAsia="es-ES_tradnl"/>
        </w:rPr>
        <w:t xml:space="preserve"> especialmente relevante en el plano de los tribunales administrativos de recursos contractuales y, en particular, en la diferencia en</w:t>
      </w:r>
      <w:r w:rsidR="006B40F7">
        <w:rPr>
          <w:rFonts w:eastAsia="Times New Roman" w:cstheme="minorHAnsi"/>
          <w:lang w:eastAsia="es-ES_tradnl"/>
        </w:rPr>
        <w:t>tre</w:t>
      </w:r>
      <w:r w:rsidRPr="005F06AD">
        <w:rPr>
          <w:rFonts w:eastAsia="Times New Roman" w:cstheme="minorHAnsi"/>
          <w:lang w:eastAsia="es-ES_tradnl"/>
        </w:rPr>
        <w:t xml:space="preserve"> el razonamiento que realiza el TACRC, </w:t>
      </w:r>
      <w:r w:rsidR="006B40F7">
        <w:rPr>
          <w:rFonts w:eastAsia="Times New Roman" w:cstheme="minorHAnsi"/>
          <w:lang w:eastAsia="es-ES_tradnl"/>
        </w:rPr>
        <w:t>seguido por</w:t>
      </w:r>
      <w:r w:rsidRPr="005F06AD">
        <w:rPr>
          <w:rFonts w:eastAsia="Times New Roman" w:cstheme="minorHAnsi"/>
          <w:lang w:eastAsia="es-ES_tradnl"/>
        </w:rPr>
        <w:t xml:space="preserve"> los tribunales administrativos de recursos contractuales de otras comunidades autónomas, y </w:t>
      </w:r>
      <w:r w:rsidR="006B40F7">
        <w:rPr>
          <w:rFonts w:eastAsia="Times New Roman" w:cstheme="minorHAnsi"/>
          <w:lang w:eastAsia="es-ES_tradnl"/>
        </w:rPr>
        <w:t xml:space="preserve">el que realiza </w:t>
      </w:r>
      <w:r w:rsidRPr="005F06AD">
        <w:rPr>
          <w:rFonts w:eastAsia="Times New Roman" w:cstheme="minorHAnsi"/>
          <w:lang w:eastAsia="es-ES_tradnl"/>
        </w:rPr>
        <w:t xml:space="preserve">el Órgano Administrativo de Recursos Contractuales de Euskadi (OARC/KEAO) a este respecto. </w:t>
      </w:r>
    </w:p>
    <w:p w14:paraId="46FDB6D5"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Y es que, como se ha señalado, tanto la doctrina del TACRC, como de la mayor parte de los tribunales administrativos de recursos contractuales coinciden en </w:t>
      </w:r>
      <w:r w:rsidRPr="005F06AD">
        <w:rPr>
          <w:rFonts w:eastAsia="Times New Roman" w:cstheme="minorHAnsi"/>
          <w:b/>
          <w:bCs/>
          <w:lang w:eastAsia="es-ES_tradnl"/>
        </w:rPr>
        <w:t>admitir</w:t>
      </w:r>
      <w:r w:rsidRPr="005F06AD">
        <w:rPr>
          <w:rFonts w:eastAsia="Times New Roman" w:cstheme="minorHAnsi"/>
          <w:lang w:eastAsia="es-ES_tradnl"/>
        </w:rPr>
        <w:t xml:space="preserve"> la posibilidad de que </w:t>
      </w:r>
      <w:r w:rsidRPr="005F06AD">
        <w:rPr>
          <w:rFonts w:eastAsia="Times New Roman" w:cstheme="minorHAnsi"/>
          <w:lang w:eastAsia="es-ES_tradnl"/>
        </w:rPr>
        <w:lastRenderedPageBreak/>
        <w:t xml:space="preserve">los licitadores realicen proposiciones de este tipo cuando el objeto del contrato está constituido por una </w:t>
      </w:r>
      <w:r w:rsidRPr="005F06AD">
        <w:rPr>
          <w:rFonts w:eastAsia="Times New Roman" w:cstheme="minorHAnsi"/>
          <w:b/>
          <w:bCs/>
          <w:lang w:eastAsia="es-ES_tradnl"/>
        </w:rPr>
        <w:t>única prestación</w:t>
      </w:r>
      <w:r w:rsidRPr="005F06AD">
        <w:rPr>
          <w:rFonts w:eastAsia="Times New Roman" w:cstheme="minorHAnsi"/>
          <w:b/>
          <w:bCs/>
          <w:vertAlign w:val="superscript"/>
          <w:lang w:eastAsia="es-ES_tradnl"/>
        </w:rPr>
        <w:footnoteReference w:id="17"/>
      </w:r>
      <w:r w:rsidRPr="005F06AD">
        <w:rPr>
          <w:rFonts w:eastAsia="Times New Roman" w:cstheme="minorHAnsi"/>
          <w:lang w:eastAsia="es-ES_tradnl"/>
        </w:rPr>
        <w:t xml:space="preserve">. </w:t>
      </w:r>
    </w:p>
    <w:p w14:paraId="0E5BE513"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De hecho, se ha validado por algunos tribunales administrativos de recursos contractuales que los órganos de contratación otorguen un valor distinto al realmente ofertado por el licitador para hacer aplicable la fórmula de valoración del criterio en cuestión en el que se ha ofertado cero euros y, de esta manera, evitar que la valoración del resto de las ofertas económicas devenga inaplicable</w:t>
      </w:r>
      <w:r w:rsidRPr="005F06AD">
        <w:rPr>
          <w:rFonts w:eastAsia="Times New Roman" w:cstheme="minorHAnsi"/>
          <w:vertAlign w:val="superscript"/>
          <w:lang w:eastAsia="es-ES_tradnl"/>
        </w:rPr>
        <w:footnoteReference w:id="18"/>
      </w:r>
      <w:r w:rsidRPr="005F06AD">
        <w:rPr>
          <w:rFonts w:eastAsia="Times New Roman" w:cstheme="minorHAnsi"/>
          <w:lang w:eastAsia="es-ES_tradnl"/>
        </w:rPr>
        <w:t xml:space="preserve">. </w:t>
      </w:r>
    </w:p>
    <w:p w14:paraId="766FD1D5"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Por el contrario, el TACRC</w:t>
      </w:r>
      <w:r w:rsidRPr="005F06AD">
        <w:rPr>
          <w:rFonts w:eastAsia="Times New Roman" w:cstheme="minorHAnsi"/>
          <w:b/>
          <w:bCs/>
          <w:lang w:eastAsia="es-ES_tradnl"/>
        </w:rPr>
        <w:t xml:space="preserve"> </w:t>
      </w:r>
      <w:r w:rsidRPr="005F06AD">
        <w:rPr>
          <w:rFonts w:eastAsia="Times New Roman" w:cstheme="minorHAnsi"/>
          <w:lang w:eastAsia="es-ES_tradnl"/>
        </w:rPr>
        <w:t xml:space="preserve">considera </w:t>
      </w:r>
      <w:r w:rsidRPr="005F06AD">
        <w:rPr>
          <w:rFonts w:eastAsia="Times New Roman" w:cstheme="minorHAnsi"/>
          <w:b/>
          <w:bCs/>
          <w:lang w:eastAsia="es-ES_tradnl"/>
        </w:rPr>
        <w:t>fraudulentos</w:t>
      </w:r>
      <w:r w:rsidRPr="005F06AD">
        <w:rPr>
          <w:rFonts w:eastAsia="Times New Roman" w:cstheme="minorHAnsi"/>
          <w:lang w:eastAsia="es-ES_tradnl"/>
        </w:rPr>
        <w:t xml:space="preserve"> aquellos supuestos en los que el objeto del contrato esté constituido por </w:t>
      </w:r>
      <w:r w:rsidRPr="005F06AD">
        <w:rPr>
          <w:rFonts w:eastAsia="Times New Roman" w:cstheme="minorHAnsi"/>
          <w:b/>
          <w:bCs/>
          <w:lang w:eastAsia="es-ES_tradnl"/>
        </w:rPr>
        <w:t>prestaciones diferenciadas</w:t>
      </w:r>
      <w:r w:rsidRPr="005F06AD">
        <w:rPr>
          <w:rFonts w:eastAsia="Times New Roman" w:cstheme="minorHAnsi"/>
          <w:lang w:eastAsia="es-ES_tradnl"/>
        </w:rPr>
        <w:t>, por trasladar a otras prestaciones los costes asociados a la prestación ofertada a precio cero. Esto último supondría que el licitador estaría aprovechando la ausencia en los pliegos de todo límite mínimo respecto del precio para tratar de desvirtuar la valoración de las ofertas económicas del resto de licitadores, obteniendo –indebidamente- la mayor puntuación y dejando a cero las puntuaciones del resto de licitadores en dicho criterio de adjudicación</w:t>
      </w:r>
      <w:r w:rsidRPr="005F06AD">
        <w:rPr>
          <w:rFonts w:eastAsia="Times New Roman" w:cstheme="minorHAnsi"/>
          <w:vertAlign w:val="superscript"/>
          <w:lang w:eastAsia="es-ES_tradnl"/>
        </w:rPr>
        <w:footnoteReference w:id="19"/>
      </w:r>
      <w:r w:rsidRPr="005F06AD">
        <w:rPr>
          <w:rFonts w:eastAsia="Times New Roman" w:cstheme="minorHAnsi"/>
          <w:lang w:eastAsia="es-ES_tradnl"/>
        </w:rPr>
        <w:t xml:space="preserve"> o, dicho de otro modo, en la práctica se convierte un criterio de adjudicación que pretendía ser proporcional en uno binario</w:t>
      </w:r>
      <w:r w:rsidRPr="005F06AD">
        <w:rPr>
          <w:rFonts w:eastAsia="Times New Roman" w:cstheme="minorHAnsi"/>
          <w:vertAlign w:val="superscript"/>
          <w:lang w:eastAsia="es-ES_tradnl"/>
        </w:rPr>
        <w:footnoteReference w:id="20"/>
      </w:r>
      <w:r w:rsidRPr="005F06AD">
        <w:rPr>
          <w:rFonts w:eastAsia="Times New Roman" w:cstheme="minorHAnsi"/>
          <w:lang w:eastAsia="es-ES_tradnl"/>
        </w:rPr>
        <w:t xml:space="preserve">. </w:t>
      </w:r>
    </w:p>
    <w:p w14:paraId="3AD1C09B"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De producirse dicho resultado, el TACRC opina que se estaría alcanzando un fin ilícito y contrario al ordenamiento jurídico, en tanto que se estaría vulnerando la normativa en materia de contratación </w:t>
      </w:r>
      <w:r w:rsidRPr="005F06AD">
        <w:rPr>
          <w:rFonts w:eastAsia="Times New Roman" w:cstheme="minorHAnsi"/>
          <w:b/>
          <w:lang w:eastAsia="es-ES_tradnl"/>
        </w:rPr>
        <w:t>al impedir una competencia efectiva entre los licitadores</w:t>
      </w:r>
      <w:r w:rsidRPr="005F06AD">
        <w:rPr>
          <w:rFonts w:eastAsia="Times New Roman" w:cstheme="minorHAnsi"/>
          <w:lang w:eastAsia="es-ES_tradnl"/>
        </w:rPr>
        <w:t>, privando a aquellos que ajustan sus ofertas a los precios de mercado de la posibilidad de ser adjudicatarios</w:t>
      </w:r>
      <w:r w:rsidRPr="005F06AD">
        <w:rPr>
          <w:rFonts w:eastAsia="Times New Roman" w:cstheme="minorHAnsi"/>
          <w:vertAlign w:val="superscript"/>
          <w:lang w:eastAsia="es-ES_tradnl"/>
        </w:rPr>
        <w:footnoteReference w:id="21"/>
      </w:r>
      <w:r w:rsidRPr="005F06AD">
        <w:rPr>
          <w:rFonts w:eastAsia="Times New Roman" w:cstheme="minorHAnsi"/>
          <w:lang w:eastAsia="es-ES_tradnl"/>
        </w:rPr>
        <w:t>.</w:t>
      </w:r>
    </w:p>
    <w:p w14:paraId="1BD6C743"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No obstante, el TACRC matiza que dicho fin ilícito únicamente puede alcanzarse cuando la prestación para la que se hubiera ofertado un precio simbólico tenga un </w:t>
      </w:r>
      <w:r w:rsidRPr="005F06AD">
        <w:rPr>
          <w:rFonts w:eastAsia="Times New Roman" w:cstheme="minorHAnsi"/>
          <w:b/>
          <w:bCs/>
          <w:lang w:eastAsia="es-ES_tradnl"/>
        </w:rPr>
        <w:t>peso notable</w:t>
      </w:r>
      <w:r w:rsidRPr="005F06AD">
        <w:rPr>
          <w:rFonts w:eastAsia="Times New Roman" w:cstheme="minorHAnsi"/>
          <w:lang w:eastAsia="es-ES_tradnl"/>
        </w:rPr>
        <w:t xml:space="preserve"> en el conjunto del objeto del contrato</w:t>
      </w:r>
      <w:r w:rsidRPr="005F06AD">
        <w:rPr>
          <w:rFonts w:eastAsia="Times New Roman" w:cstheme="minorHAnsi"/>
          <w:vertAlign w:val="superscript"/>
          <w:lang w:eastAsia="es-ES_tradnl"/>
        </w:rPr>
        <w:footnoteReference w:id="22"/>
      </w:r>
      <w:r w:rsidRPr="005F06AD">
        <w:rPr>
          <w:rFonts w:eastAsia="Times New Roman" w:cstheme="minorHAnsi"/>
          <w:lang w:eastAsia="es-ES_tradnl"/>
        </w:rPr>
        <w:t xml:space="preserve">. </w:t>
      </w:r>
    </w:p>
    <w:p w14:paraId="19A71DB9"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lastRenderedPageBreak/>
        <w:t xml:space="preserve">El TACRC culmina su doctrina disponiendo que la </w:t>
      </w:r>
      <w:r w:rsidRPr="005F06AD">
        <w:rPr>
          <w:rFonts w:eastAsia="Times New Roman" w:cstheme="minorHAnsi"/>
          <w:b/>
          <w:lang w:eastAsia="es-ES_tradnl"/>
        </w:rPr>
        <w:t>consecuencia jurídica del fraude de ley no ha de ser la exclusión del licitador</w:t>
      </w:r>
      <w:r w:rsidRPr="005F06AD">
        <w:rPr>
          <w:rFonts w:eastAsia="Times New Roman" w:cstheme="minorHAnsi"/>
          <w:lang w:eastAsia="es-ES_tradnl"/>
        </w:rPr>
        <w:t>, sino “</w:t>
      </w:r>
      <w:r w:rsidRPr="006B40F7">
        <w:rPr>
          <w:rFonts w:eastAsia="Times New Roman" w:cstheme="minorHAnsi"/>
          <w:i/>
          <w:lang w:eastAsia="es-ES_tradnl"/>
        </w:rPr>
        <w:t>la no valoración del criterio de adjudicación de estas empresas, al haber realizado una oferta fraudulenta para dicho criterio”</w:t>
      </w:r>
      <w:r w:rsidRPr="006B40F7">
        <w:rPr>
          <w:rFonts w:eastAsia="Times New Roman" w:cstheme="minorHAnsi"/>
          <w:i/>
          <w:vertAlign w:val="superscript"/>
          <w:lang w:eastAsia="es-ES_tradnl"/>
        </w:rPr>
        <w:footnoteReference w:id="23"/>
      </w:r>
      <w:r w:rsidRPr="006B40F7">
        <w:rPr>
          <w:rFonts w:eastAsia="Times New Roman" w:cstheme="minorHAnsi"/>
          <w:i/>
          <w:lang w:eastAsia="es-ES_tradnl"/>
        </w:rPr>
        <w:t xml:space="preserve">. </w:t>
      </w:r>
      <w:r w:rsidRPr="006B40F7">
        <w:rPr>
          <w:rFonts w:eastAsia="Times New Roman" w:cstheme="minorHAnsi"/>
          <w:iCs/>
          <w:lang w:eastAsia="es-ES_tradnl"/>
        </w:rPr>
        <w:t>Por lo tanto, según el TACRC, se habría de entender que no se ha realizado oferta, esto es, que el licitador ha ofertado al precio máximo y sin descuento alguno en ese criterio al que se ha ofertado un precio simbólico</w:t>
      </w:r>
      <w:r w:rsidRPr="005F06AD">
        <w:rPr>
          <w:rFonts w:eastAsia="Times New Roman" w:cstheme="minorHAnsi"/>
          <w:vertAlign w:val="superscript"/>
          <w:lang w:eastAsia="es-ES_tradnl"/>
        </w:rPr>
        <w:footnoteReference w:id="24"/>
      </w:r>
      <w:r w:rsidRPr="005F06AD">
        <w:rPr>
          <w:rFonts w:eastAsia="Times New Roman" w:cstheme="minorHAnsi"/>
          <w:lang w:eastAsia="es-ES_tradnl"/>
        </w:rPr>
        <w:t>.</w:t>
      </w:r>
      <w:r w:rsidRPr="005F06AD">
        <w:rPr>
          <w:rFonts w:eastAsia="Times New Roman" w:cstheme="minorHAnsi"/>
          <w:lang w:val="es-ES_tradnl" w:eastAsia="es-ES_tradnl"/>
        </w:rPr>
        <w:t xml:space="preserve"> </w:t>
      </w:r>
    </w:p>
    <w:p w14:paraId="3B2C0784"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No obstante, para el TACRC la oferta no incurrirá en fraude de ley cuando cumpla los siguientes requisitos</w:t>
      </w:r>
      <w:r w:rsidRPr="005F06AD">
        <w:rPr>
          <w:rFonts w:eastAsia="Times New Roman" w:cstheme="minorHAnsi"/>
          <w:vertAlign w:val="superscript"/>
          <w:lang w:eastAsia="es-ES_tradnl"/>
        </w:rPr>
        <w:footnoteReference w:id="25"/>
      </w:r>
      <w:r w:rsidRPr="005F06AD">
        <w:rPr>
          <w:rFonts w:eastAsia="Times New Roman" w:cstheme="minorHAnsi"/>
          <w:lang w:eastAsia="es-ES_tradnl"/>
        </w:rPr>
        <w:t>:</w:t>
      </w:r>
    </w:p>
    <w:p w14:paraId="23292D78" w14:textId="77777777" w:rsidR="005F06AD" w:rsidRPr="005F06AD" w:rsidRDefault="005F06AD" w:rsidP="005F06AD">
      <w:pPr>
        <w:numPr>
          <w:ilvl w:val="0"/>
          <w:numId w:val="3"/>
        </w:numPr>
        <w:spacing w:line="360" w:lineRule="auto"/>
        <w:jc w:val="both"/>
        <w:rPr>
          <w:rFonts w:eastAsia="Times New Roman" w:cstheme="minorHAnsi"/>
          <w:lang w:eastAsia="es-ES_tradnl"/>
        </w:rPr>
      </w:pPr>
      <w:r w:rsidRPr="005F06AD">
        <w:rPr>
          <w:rFonts w:eastAsia="Times New Roman" w:cstheme="minorHAnsi"/>
          <w:lang w:eastAsia="es-ES_tradnl"/>
        </w:rPr>
        <w:t>que en su conjunto la oferta tenga un precio positivo;</w:t>
      </w:r>
    </w:p>
    <w:p w14:paraId="7DC21840" w14:textId="77777777" w:rsidR="005F06AD" w:rsidRPr="005F06AD" w:rsidRDefault="005F06AD" w:rsidP="005F06AD">
      <w:pPr>
        <w:numPr>
          <w:ilvl w:val="0"/>
          <w:numId w:val="3"/>
        </w:numPr>
        <w:spacing w:line="360" w:lineRule="auto"/>
        <w:jc w:val="both"/>
        <w:rPr>
          <w:rFonts w:eastAsia="Times New Roman" w:cstheme="minorHAnsi"/>
          <w:lang w:eastAsia="es-ES_tradnl"/>
        </w:rPr>
      </w:pPr>
      <w:r w:rsidRPr="005F06AD">
        <w:rPr>
          <w:rFonts w:eastAsia="Times New Roman" w:cstheme="minorHAnsi"/>
          <w:lang w:eastAsia="es-ES_tradnl"/>
        </w:rPr>
        <w:t xml:space="preserve">que la fórmula no quede desvirtuada, dando lugar a resultados que no permitan una ordenación proporcional de las ofertas; y </w:t>
      </w:r>
    </w:p>
    <w:p w14:paraId="1A295047" w14:textId="77777777" w:rsidR="005F06AD" w:rsidRPr="005F06AD" w:rsidRDefault="005F06AD" w:rsidP="005F06AD">
      <w:pPr>
        <w:numPr>
          <w:ilvl w:val="0"/>
          <w:numId w:val="3"/>
        </w:numPr>
        <w:spacing w:line="360" w:lineRule="auto"/>
        <w:jc w:val="both"/>
        <w:rPr>
          <w:rFonts w:eastAsia="Times New Roman" w:cstheme="minorHAnsi"/>
          <w:lang w:eastAsia="es-ES_tradnl"/>
        </w:rPr>
      </w:pPr>
      <w:r w:rsidRPr="005F06AD">
        <w:rPr>
          <w:rFonts w:eastAsia="Times New Roman" w:cstheme="minorHAnsi"/>
          <w:lang w:eastAsia="es-ES_tradnl"/>
        </w:rPr>
        <w:t xml:space="preserve">que el resultado final no suponga otorgar mayor puntuación en el criterio económico a quien, en su conjunto, ha realizado la oferta más cara. </w:t>
      </w:r>
    </w:p>
    <w:p w14:paraId="3DF9858A"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La expuesta doctrina del TACRC ha sido seguida por los tribunales administrativos de recursos contractuales de diferentes comunidades autónomas, entre los que destaca el </w:t>
      </w:r>
      <w:r w:rsidRPr="005F06AD">
        <w:rPr>
          <w:rFonts w:eastAsia="Times New Roman" w:cstheme="minorHAnsi"/>
          <w:b/>
          <w:bCs/>
          <w:lang w:eastAsia="es-ES_tradnl"/>
        </w:rPr>
        <w:t>Tribunal Administrativo de Contratación Pública de la Comunidad de Madrid</w:t>
      </w:r>
      <w:r w:rsidRPr="005F06AD">
        <w:rPr>
          <w:rFonts w:eastAsia="Times New Roman" w:cstheme="minorHAnsi"/>
          <w:vertAlign w:val="superscript"/>
          <w:lang w:eastAsia="es-ES_tradnl"/>
        </w:rPr>
        <w:footnoteReference w:id="26"/>
      </w:r>
      <w:r w:rsidRPr="005F06AD">
        <w:rPr>
          <w:rFonts w:eastAsia="Times New Roman" w:cstheme="minorHAnsi"/>
          <w:lang w:eastAsia="es-ES_tradnl"/>
        </w:rPr>
        <w:t xml:space="preserve">, el </w:t>
      </w:r>
      <w:r w:rsidRPr="005F06AD">
        <w:rPr>
          <w:rFonts w:eastAsia="Times New Roman" w:cstheme="minorHAnsi"/>
          <w:b/>
          <w:bCs/>
          <w:lang w:eastAsia="es-ES_tradnl"/>
        </w:rPr>
        <w:t>Tribunal Administrativo de Contratos Públicos de Aragón</w:t>
      </w:r>
      <w:r w:rsidRPr="005F06AD">
        <w:rPr>
          <w:rFonts w:eastAsia="Times New Roman" w:cstheme="minorHAnsi"/>
          <w:vertAlign w:val="superscript"/>
          <w:lang w:eastAsia="es-ES_tradnl"/>
        </w:rPr>
        <w:footnoteReference w:id="27"/>
      </w:r>
      <w:r w:rsidRPr="005F06AD">
        <w:rPr>
          <w:rFonts w:eastAsia="Times New Roman" w:cstheme="minorHAnsi"/>
          <w:lang w:eastAsia="es-ES_tradnl"/>
        </w:rPr>
        <w:t xml:space="preserve">, el </w:t>
      </w:r>
      <w:r w:rsidRPr="005F06AD">
        <w:rPr>
          <w:rFonts w:eastAsia="Times New Roman" w:cstheme="minorHAnsi"/>
          <w:b/>
          <w:bCs/>
          <w:lang w:eastAsia="es-ES_tradnl"/>
        </w:rPr>
        <w:t>Tribunal Catalá de Contractes del Sector Público</w:t>
      </w:r>
      <w:r w:rsidRPr="005F06AD">
        <w:rPr>
          <w:rFonts w:eastAsia="Times New Roman" w:cstheme="minorHAnsi"/>
          <w:vertAlign w:val="superscript"/>
          <w:lang w:eastAsia="es-ES_tradnl"/>
        </w:rPr>
        <w:footnoteReference w:id="28"/>
      </w:r>
      <w:r w:rsidRPr="005F06AD">
        <w:rPr>
          <w:rFonts w:eastAsia="Times New Roman" w:cstheme="minorHAnsi"/>
          <w:lang w:eastAsia="es-ES_tradnl"/>
        </w:rPr>
        <w:t xml:space="preserve">, el </w:t>
      </w:r>
      <w:r w:rsidRPr="005F06AD">
        <w:rPr>
          <w:rFonts w:eastAsia="Times New Roman" w:cstheme="minorHAnsi"/>
          <w:b/>
          <w:bCs/>
          <w:lang w:eastAsia="es-ES_tradnl"/>
        </w:rPr>
        <w:t>Tribunal Administrativo de Recursos Contractuales de Castilla y León</w:t>
      </w:r>
      <w:r w:rsidRPr="005F06AD">
        <w:rPr>
          <w:rFonts w:eastAsia="Times New Roman" w:cstheme="minorHAnsi"/>
          <w:b/>
          <w:bCs/>
          <w:vertAlign w:val="superscript"/>
          <w:lang w:eastAsia="es-ES_tradnl"/>
        </w:rPr>
        <w:footnoteReference w:id="29"/>
      </w:r>
      <w:r w:rsidRPr="005F06AD">
        <w:rPr>
          <w:rFonts w:eastAsia="Times New Roman" w:cstheme="minorHAnsi"/>
          <w:lang w:eastAsia="es-ES_tradnl"/>
        </w:rPr>
        <w:t xml:space="preserve">, y el </w:t>
      </w:r>
      <w:r w:rsidRPr="005F06AD">
        <w:rPr>
          <w:rFonts w:eastAsia="Times New Roman" w:cstheme="minorHAnsi"/>
          <w:b/>
          <w:bCs/>
          <w:lang w:eastAsia="es-ES_tradnl"/>
        </w:rPr>
        <w:t>Tribunal Administrativo de Contratos Públicos de la Comunidad Autónoma de Canarias</w:t>
      </w:r>
      <w:r w:rsidRPr="005F06AD">
        <w:rPr>
          <w:rFonts w:eastAsia="Times New Roman" w:cstheme="minorHAnsi"/>
          <w:vertAlign w:val="superscript"/>
          <w:lang w:eastAsia="es-ES_tradnl"/>
        </w:rPr>
        <w:footnoteReference w:id="30"/>
      </w:r>
      <w:r w:rsidRPr="005F06AD">
        <w:rPr>
          <w:rFonts w:eastAsia="Times New Roman" w:cstheme="minorHAnsi"/>
          <w:lang w:eastAsia="es-ES_tradnl"/>
        </w:rPr>
        <w:t>. Esta doctrina también ha sido avalada por la escasa jurisprudencia que se ha dictado al respecto</w:t>
      </w:r>
      <w:r w:rsidRPr="005F06AD">
        <w:rPr>
          <w:rFonts w:eastAsia="Times New Roman" w:cstheme="minorHAnsi"/>
          <w:vertAlign w:val="superscript"/>
          <w:lang w:eastAsia="es-ES_tradnl"/>
        </w:rPr>
        <w:footnoteReference w:id="31"/>
      </w:r>
      <w:r w:rsidRPr="005F06AD">
        <w:rPr>
          <w:rFonts w:eastAsia="Times New Roman" w:cstheme="minorHAnsi"/>
          <w:lang w:eastAsia="es-ES_tradnl"/>
        </w:rPr>
        <w:t>.</w:t>
      </w:r>
    </w:p>
    <w:p w14:paraId="2884DF7E"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lastRenderedPageBreak/>
        <w:t>En contraposición con el criterio mayoritario expuesto hasta el momento, el OARC/KEAO ha mostrado una clara reticencia a calificar como fraude de ley las ofertas a precio cero para determinadas prestaciones de un contrato público.</w:t>
      </w:r>
    </w:p>
    <w:p w14:paraId="0C7EAEE2"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Y ello, por cuanto que el OARC/KEAO parte de la premisa de que, al margen del procedimiento de justificación de la viabilidad de las ofertas previsto en el artículo 149 de la LCSP para aquellas proposiciones incursas en presunción de temeridad, </w:t>
      </w:r>
      <w:r w:rsidRPr="006B40F7">
        <w:rPr>
          <w:rFonts w:eastAsia="Times New Roman" w:cstheme="minorHAnsi"/>
          <w:lang w:eastAsia="es-ES_tradnl"/>
        </w:rPr>
        <w:t>no cabe emitir juicio de valor alguno sobre el resultado obtenido de la aplicación de la fórmula prevista en los pliegos para los criterios cuantificables automáticamente</w:t>
      </w:r>
      <w:r w:rsidRPr="005F06AD">
        <w:rPr>
          <w:rFonts w:eastAsia="Times New Roman" w:cstheme="minorHAnsi"/>
          <w:lang w:eastAsia="es-ES_tradnl"/>
        </w:rPr>
        <w:t>. Muy al contrario, para estos criterios, “</w:t>
      </w:r>
      <w:r w:rsidRPr="006B40F7">
        <w:rPr>
          <w:rFonts w:eastAsia="Times New Roman" w:cstheme="minorHAnsi"/>
          <w:i/>
          <w:iCs/>
          <w:lang w:eastAsia="es-ES_tradnl"/>
        </w:rPr>
        <w:t>la puntuación se deriva de la aplicación de una fórmula y el resultado de una fórmula no puede interpretarse, tan solo se calcula</w:t>
      </w:r>
      <w:r w:rsidRPr="005F06AD">
        <w:rPr>
          <w:rFonts w:eastAsia="Times New Roman" w:cstheme="minorHAnsi"/>
          <w:lang w:eastAsia="es-ES_tradnl"/>
        </w:rPr>
        <w:t>”</w:t>
      </w:r>
      <w:r w:rsidRPr="005F06AD">
        <w:rPr>
          <w:rFonts w:eastAsia="Times New Roman" w:cstheme="minorHAnsi"/>
          <w:vertAlign w:val="superscript"/>
          <w:lang w:eastAsia="es-ES_tradnl"/>
        </w:rPr>
        <w:footnoteReference w:id="32"/>
      </w:r>
      <w:r w:rsidRPr="005F06AD">
        <w:rPr>
          <w:rFonts w:eastAsia="Times New Roman" w:cstheme="minorHAnsi"/>
          <w:lang w:eastAsia="es-ES_tradnl"/>
        </w:rPr>
        <w:t>.</w:t>
      </w:r>
    </w:p>
    <w:p w14:paraId="7307B9DD"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Por tanto, continúa el OARC/KEAO indicando que pliegos que no hubieran sido impugnados en el período conferido a tal efecto constituyen </w:t>
      </w:r>
      <w:r w:rsidRPr="005F06AD">
        <w:rPr>
          <w:rFonts w:eastAsia="Times New Roman" w:cstheme="minorHAnsi"/>
          <w:i/>
          <w:lang w:eastAsia="es-ES_tradnl"/>
        </w:rPr>
        <w:t xml:space="preserve">lex </w:t>
      </w:r>
      <w:proofErr w:type="spellStart"/>
      <w:r w:rsidRPr="005F06AD">
        <w:rPr>
          <w:rFonts w:eastAsia="Times New Roman" w:cstheme="minorHAnsi"/>
          <w:i/>
          <w:lang w:eastAsia="es-ES_tradnl"/>
        </w:rPr>
        <w:t>contratus</w:t>
      </w:r>
      <w:proofErr w:type="spellEnd"/>
      <w:r w:rsidRPr="005F06AD">
        <w:rPr>
          <w:rFonts w:eastAsia="Times New Roman" w:cstheme="minorHAnsi"/>
          <w:lang w:eastAsia="es-ES_tradnl"/>
        </w:rPr>
        <w:t xml:space="preserve"> y, en ese sentido, vinculan al órgano de contratación y a los licitadores. Así, </w:t>
      </w:r>
      <w:r w:rsidRPr="006B40F7">
        <w:rPr>
          <w:rFonts w:eastAsia="Times New Roman" w:cstheme="minorHAnsi"/>
          <w:b/>
          <w:bCs/>
          <w:lang w:eastAsia="es-ES_tradnl"/>
        </w:rPr>
        <w:t>la fórmula de valoración de las ofertas económicas constituye una cláusula contractual que el órgano de contratación no puede sino aplicar, sin haber lugar a interpretación alguna, y menos aún a entrar a realizar un análisis tan radicalmente jurídico como es el de apreciación del fraude de ley</w:t>
      </w:r>
      <w:r w:rsidRPr="005F06AD">
        <w:rPr>
          <w:rFonts w:eastAsia="Times New Roman" w:cstheme="minorHAnsi"/>
          <w:vertAlign w:val="superscript"/>
          <w:lang w:eastAsia="es-ES_tradnl"/>
        </w:rPr>
        <w:footnoteReference w:id="33"/>
      </w:r>
      <w:r w:rsidRPr="005F06AD">
        <w:rPr>
          <w:rFonts w:eastAsia="Times New Roman" w:cstheme="minorHAnsi"/>
          <w:lang w:eastAsia="es-ES_tradnl"/>
        </w:rPr>
        <w:t>. Ello, incluso, en el supuesto de que la aplicación de la fórmula no permita una ordenación proporcional de las ofertas porque se produce el resultado de que el licitador que oferta un precio simbólico obtiene todos los puntos en dicho criterio y el resto de los licitadores cero puntos</w:t>
      </w:r>
      <w:r w:rsidRPr="005F06AD">
        <w:rPr>
          <w:rFonts w:eastAsia="Times New Roman" w:cstheme="minorHAnsi"/>
          <w:vertAlign w:val="superscript"/>
          <w:lang w:eastAsia="es-ES_tradnl"/>
        </w:rPr>
        <w:footnoteReference w:id="34"/>
      </w:r>
      <w:r w:rsidRPr="005F06AD">
        <w:rPr>
          <w:rFonts w:eastAsia="Times New Roman" w:cstheme="minorHAnsi"/>
          <w:lang w:eastAsia="es-ES_tradnl"/>
        </w:rPr>
        <w:t>.</w:t>
      </w:r>
    </w:p>
    <w:p w14:paraId="0A72421C"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Pero es que, incluso aunque pudiera entenderse que el órgano de contratación tiene la posibilidad de realizar dicha valoración, el OARC/KEAO sostiene que en las ofertas simbólicas no concurren los requisitos exigidos en el artículo 6.4 del Código Civil para poder apreciar la existencia de fraude de ley. Y ello, sobre una doble base:</w:t>
      </w:r>
    </w:p>
    <w:p w14:paraId="5C5ED229" w14:textId="77777777" w:rsidR="005F06AD" w:rsidRPr="005F06AD" w:rsidRDefault="005F06AD" w:rsidP="005F06AD">
      <w:pPr>
        <w:numPr>
          <w:ilvl w:val="0"/>
          <w:numId w:val="2"/>
        </w:numPr>
        <w:spacing w:line="360" w:lineRule="auto"/>
        <w:ind w:left="709" w:hanging="513"/>
        <w:jc w:val="both"/>
        <w:rPr>
          <w:rFonts w:eastAsia="Times New Roman" w:cstheme="minorHAnsi"/>
          <w:lang w:eastAsia="es-ES_tradnl"/>
        </w:rPr>
      </w:pPr>
      <w:r w:rsidRPr="005F06AD">
        <w:rPr>
          <w:rFonts w:eastAsia="Times New Roman" w:cstheme="minorHAnsi"/>
          <w:lang w:eastAsia="es-ES_tradnl"/>
        </w:rPr>
        <w:t xml:space="preserve">La ausencia de límites mínimos para los precios de las ofertas en los pliegos permite a los licitadores rebajar incluso hasta los cero euros el precio de determinadas prestaciones, pues nada obliga a los licitadores a repercutir íntegra o parcialmente el coste de cada prestación en su correspondiente precio. </w:t>
      </w:r>
    </w:p>
    <w:p w14:paraId="3CB14C41" w14:textId="77777777" w:rsidR="005F06AD" w:rsidRPr="005F06AD" w:rsidRDefault="005F06AD" w:rsidP="005F06AD">
      <w:pPr>
        <w:spacing w:line="360" w:lineRule="auto"/>
        <w:ind w:left="709"/>
        <w:jc w:val="both"/>
        <w:rPr>
          <w:rFonts w:eastAsia="Times New Roman" w:cstheme="minorHAnsi"/>
          <w:lang w:eastAsia="es-ES_tradnl"/>
        </w:rPr>
      </w:pPr>
      <w:r w:rsidRPr="005F06AD">
        <w:rPr>
          <w:rFonts w:eastAsia="Times New Roman" w:cstheme="minorHAnsi"/>
          <w:lang w:eastAsia="es-ES_tradnl"/>
        </w:rPr>
        <w:t xml:space="preserve">El OARC/KEAO apunta de manera rotunda que esta práctica se produce en el tráfico mercantil diario sin que sea cuestionada ni cuestionable, siendo una decisión empresarial legítima que asume un riesgo económico de que, finalmente, no se </w:t>
      </w:r>
      <w:r w:rsidRPr="005F06AD">
        <w:rPr>
          <w:rFonts w:eastAsia="Times New Roman" w:cstheme="minorHAnsi"/>
          <w:lang w:eastAsia="es-ES_tradnl"/>
        </w:rPr>
        <w:lastRenderedPageBreak/>
        <w:t>produzca dicho resultado. Por ello, entiende el OARC/KEAO que en modo alguno dicha práctica puede considerarse empresarialmente inadecuada</w:t>
      </w:r>
      <w:r w:rsidRPr="005F06AD">
        <w:rPr>
          <w:rFonts w:eastAsia="Times New Roman" w:cstheme="minorHAnsi"/>
          <w:vertAlign w:val="superscript"/>
          <w:lang w:eastAsia="es-ES_tradnl"/>
        </w:rPr>
        <w:footnoteReference w:id="35"/>
      </w:r>
      <w:r w:rsidRPr="005F06AD">
        <w:rPr>
          <w:rFonts w:eastAsia="Times New Roman" w:cstheme="minorHAnsi"/>
          <w:lang w:eastAsia="es-ES_tradnl"/>
        </w:rPr>
        <w:t xml:space="preserve">.  </w:t>
      </w:r>
    </w:p>
    <w:p w14:paraId="78C73FE3" w14:textId="77777777" w:rsidR="005F06AD" w:rsidRPr="005F06AD" w:rsidRDefault="005F06AD" w:rsidP="005F06AD">
      <w:pPr>
        <w:numPr>
          <w:ilvl w:val="0"/>
          <w:numId w:val="2"/>
        </w:numPr>
        <w:spacing w:line="360" w:lineRule="auto"/>
        <w:ind w:left="709" w:hanging="513"/>
        <w:jc w:val="both"/>
        <w:rPr>
          <w:rFonts w:eastAsia="Times New Roman" w:cstheme="minorHAnsi"/>
          <w:lang w:eastAsia="es-ES_tradnl"/>
        </w:rPr>
      </w:pPr>
      <w:r w:rsidRPr="005F06AD">
        <w:rPr>
          <w:rFonts w:eastAsia="Times New Roman" w:cstheme="minorHAnsi"/>
          <w:lang w:eastAsia="es-ES_tradnl"/>
        </w:rPr>
        <w:t xml:space="preserve">No cabe asumir que la presentación de una oferta simbólica para alguna de las prestaciones objeto del contrato tenga un resultado contrario al ordenamiento jurídico, en tanto que, precisamente, la finalidad de conseguir la máxima puntuación y que el resto de los licitadores obtenga la mínima posible es consustancial a todo procedimiento de concurrencia competitiva. </w:t>
      </w:r>
    </w:p>
    <w:p w14:paraId="0EEAE559" w14:textId="77777777" w:rsidR="005F06AD" w:rsidRPr="005F06AD" w:rsidRDefault="005F06AD" w:rsidP="005F06AD">
      <w:pPr>
        <w:spacing w:line="360" w:lineRule="auto"/>
        <w:ind w:left="709"/>
        <w:jc w:val="both"/>
        <w:rPr>
          <w:rFonts w:eastAsia="Times New Roman" w:cstheme="minorHAnsi"/>
          <w:lang w:eastAsia="es-ES_tradnl"/>
        </w:rPr>
      </w:pPr>
      <w:r w:rsidRPr="005F06AD">
        <w:rPr>
          <w:rFonts w:eastAsia="Times New Roman" w:cstheme="minorHAnsi"/>
          <w:lang w:eastAsia="es-ES_tradnl"/>
        </w:rPr>
        <w:t>En concreto, el OARC/KEAO afirma que “</w:t>
      </w:r>
      <w:r w:rsidRPr="006B40F7">
        <w:rPr>
          <w:rFonts w:eastAsia="Times New Roman" w:cstheme="minorHAnsi"/>
          <w:i/>
          <w:lang w:eastAsia="es-ES_tradnl"/>
        </w:rPr>
        <w:t>no es razonable exigir a los licitadores que renuncien a plantear su oferta de la forma que mejor la optimice en términos de puntuación, y mucho menos penalizar esa puntuación con la exclusión del procedimiento de adjudicación</w:t>
      </w:r>
      <w:r w:rsidRPr="005F06AD">
        <w:rPr>
          <w:rFonts w:eastAsia="Times New Roman" w:cstheme="minorHAnsi"/>
          <w:lang w:eastAsia="es-ES_tradnl"/>
        </w:rPr>
        <w:t>”</w:t>
      </w:r>
      <w:r w:rsidRPr="005F06AD">
        <w:rPr>
          <w:rFonts w:eastAsia="Times New Roman" w:cstheme="minorHAnsi"/>
          <w:vertAlign w:val="superscript"/>
          <w:lang w:eastAsia="es-ES_tradnl"/>
        </w:rPr>
        <w:footnoteReference w:id="36"/>
      </w:r>
      <w:r w:rsidRPr="005F06AD">
        <w:rPr>
          <w:rFonts w:eastAsia="Times New Roman" w:cstheme="minorHAnsi"/>
          <w:lang w:eastAsia="es-ES_tradnl"/>
        </w:rPr>
        <w:t xml:space="preserve">. </w:t>
      </w:r>
    </w:p>
    <w:p w14:paraId="646D40CD"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Con todo, el OARC/KEAO concluye que </w:t>
      </w:r>
      <w:r w:rsidRPr="005F06AD">
        <w:rPr>
          <w:rFonts w:eastAsia="Times New Roman" w:cstheme="minorHAnsi"/>
          <w:b/>
          <w:bCs/>
          <w:lang w:eastAsia="es-ES_tradnl"/>
        </w:rPr>
        <w:t>no cabe excluir</w:t>
      </w:r>
      <w:r w:rsidRPr="005F06AD">
        <w:rPr>
          <w:rFonts w:eastAsia="Times New Roman" w:cstheme="minorHAnsi"/>
          <w:lang w:eastAsia="es-ES_tradnl"/>
        </w:rPr>
        <w:t xml:space="preserve"> a un licitador que presente una proposición a precio cero, </w:t>
      </w:r>
      <w:r w:rsidRPr="005F06AD">
        <w:rPr>
          <w:rFonts w:eastAsia="Times New Roman" w:cstheme="minorHAnsi"/>
          <w:b/>
          <w:bCs/>
          <w:lang w:eastAsia="es-ES_tradnl"/>
        </w:rPr>
        <w:t>ni tampoco ha lugar a no valorar el criterio de adjudicación</w:t>
      </w:r>
      <w:r w:rsidRPr="005F06AD">
        <w:rPr>
          <w:rFonts w:eastAsia="Times New Roman" w:cstheme="minorHAnsi"/>
          <w:lang w:eastAsia="es-ES_tradnl"/>
        </w:rPr>
        <w:t xml:space="preserve"> correspondiente, pues no puede considerarse que dicha actuación sea contraria a Derecho ni resulte constitutiva de fraude de ley</w:t>
      </w:r>
      <w:r w:rsidRPr="005F06AD">
        <w:rPr>
          <w:rFonts w:eastAsia="Times New Roman" w:cstheme="minorHAnsi"/>
          <w:vertAlign w:val="superscript"/>
          <w:lang w:eastAsia="es-ES_tradnl"/>
        </w:rPr>
        <w:footnoteReference w:id="37"/>
      </w:r>
      <w:r w:rsidRPr="005F06AD">
        <w:rPr>
          <w:rFonts w:eastAsia="Times New Roman" w:cstheme="minorHAnsi"/>
          <w:lang w:eastAsia="es-ES_tradnl"/>
        </w:rPr>
        <w:t xml:space="preserve">. </w:t>
      </w:r>
    </w:p>
    <w:p w14:paraId="4E5BDE86"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De lo expuesto se desprende un claro contraste entre las doctrinas del TACRC (y de los tribunales administrativos de recursos contractuales de la mayoría de las comunidades autónomas) y del OARC/KEAO en relación con la apreciación del fraude de ley en las ofertas presentadas a precio cero. </w:t>
      </w:r>
    </w:p>
    <w:p w14:paraId="3574A3A8"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Esta disparidad provoca que las ofertas simbólicas sean o no admitidas y, posteriormente, avaladas o no ante un recurso especial en materia de contratación, dependiendo, en gran medida y con independencia del esfuerzo argumental que pueda realizar el recurrente, de la tendencia doctrinal adoptada por el tribunal que territorialmente resulte competente para conocer del recurso. </w:t>
      </w:r>
    </w:p>
    <w:p w14:paraId="56B729DD"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Todo lo anterior subsume a la problemática de este tipo de ofertas en un contexto de inseguridad jurídica nada deseable para el mercado y los licitadores.</w:t>
      </w:r>
    </w:p>
    <w:p w14:paraId="4BCDE837"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lastRenderedPageBreak/>
        <w:t>En aras de la salvaguarda de dicho principio de seguridad jurídica, y a fin de evitar, como precisamente consagra la LCSP en su Disposición Adicional vigésimo tercera, que se produzcan resoluciones opuestas frente a supuestos sustancialmente idénticos, resultaría conveniente que el Tribunal Supremo, en el ejercicio de su potestad unificadora de doctrina, estableciese unos criterios consolidados en relación con la posibilidad o no de apreciar el fraude de ley en ofertas presentadas a precio cero, a los que pudieran acogerse de forma uniforme los diferentes tribunales administrativos de recursos contractuales. Quizás sea la ocasión para que este Alto Tribunal se pronuncie al respecto en el recurso de casación admitido a trámite por la Sección Primera mediante el auto de 16 de febrero de 2023 (</w:t>
      </w:r>
      <w:r w:rsidRPr="005F06AD">
        <w:rPr>
          <w:rFonts w:eastAsia="Times New Roman" w:cstheme="minorHAnsi"/>
          <w:lang w:val="es-ES_tradnl" w:eastAsia="es-ES_tradnl"/>
        </w:rPr>
        <w:t>ATS 1758/2023 - ECLI:ES:</w:t>
      </w:r>
      <w:proofErr w:type="gramStart"/>
      <w:r w:rsidRPr="005F06AD">
        <w:rPr>
          <w:rFonts w:eastAsia="Times New Roman" w:cstheme="minorHAnsi"/>
          <w:lang w:val="es-ES_tradnl" w:eastAsia="es-ES_tradnl"/>
        </w:rPr>
        <w:t>TS:2023:1758</w:t>
      </w:r>
      <w:proofErr w:type="gramEnd"/>
      <w:r w:rsidRPr="005F06AD">
        <w:rPr>
          <w:rFonts w:eastAsia="Times New Roman" w:cstheme="minorHAnsi"/>
          <w:lang w:val="es-ES_tradnl" w:eastAsia="es-ES_tradnl"/>
        </w:rPr>
        <w:t>A), aún pendiente de fallo</w:t>
      </w:r>
      <w:r w:rsidRPr="005F06AD">
        <w:rPr>
          <w:rFonts w:eastAsia="Times New Roman" w:cstheme="minorHAnsi"/>
          <w:vertAlign w:val="superscript"/>
          <w:lang w:val="es-ES_tradnl" w:eastAsia="es-ES_tradnl"/>
        </w:rPr>
        <w:footnoteReference w:id="38"/>
      </w:r>
      <w:r w:rsidRPr="005F06AD">
        <w:rPr>
          <w:rFonts w:eastAsia="Times New Roman" w:cstheme="minorHAnsi"/>
          <w:lang w:val="es-ES_tradnl" w:eastAsia="es-ES_tradnl"/>
        </w:rPr>
        <w:t xml:space="preserve">. </w:t>
      </w:r>
    </w:p>
    <w:p w14:paraId="35525328"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En todo caso, y mientras tanto, sería necesario que el primer paso viniera dado de la mano de una práctica responsable de los órganos de contratación al elaborar los pliegos. </w:t>
      </w:r>
    </w:p>
    <w:p w14:paraId="324D02D1"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Aunque muchos son los artículos y recomendaciones encaminadas a atajar problemas al configurar las fórmulas de valoración de las ofertas económicas</w:t>
      </w:r>
      <w:r w:rsidRPr="005F06AD">
        <w:rPr>
          <w:rFonts w:eastAsia="Times New Roman" w:cstheme="minorHAnsi"/>
          <w:vertAlign w:val="superscript"/>
          <w:lang w:eastAsia="es-ES_tradnl"/>
        </w:rPr>
        <w:footnoteReference w:id="39"/>
      </w:r>
      <w:r w:rsidRPr="005F06AD">
        <w:rPr>
          <w:rFonts w:eastAsia="Times New Roman" w:cstheme="minorHAnsi"/>
          <w:lang w:eastAsia="es-ES_tradnl"/>
        </w:rPr>
        <w:t xml:space="preserve">, para que aquellas respeten la proporcionalidad en las bajas ofertadas y eviten distorsiones en los resultados, debiera preverse también el efecto de las ofertas simbólicas en dichas fórmulas, a fin de evitar tener que realizar interpretaciones </w:t>
      </w:r>
      <w:r w:rsidRPr="005F06AD">
        <w:rPr>
          <w:rFonts w:eastAsia="Times New Roman" w:cstheme="minorHAnsi"/>
          <w:i/>
          <w:iCs/>
          <w:lang w:eastAsia="es-ES_tradnl"/>
        </w:rPr>
        <w:t>ad hoc</w:t>
      </w:r>
      <w:r w:rsidRPr="005F06AD">
        <w:rPr>
          <w:rFonts w:eastAsia="Times New Roman" w:cstheme="minorHAnsi"/>
          <w:lang w:eastAsia="es-ES_tradnl"/>
        </w:rPr>
        <w:t xml:space="preserve"> para posibilitar su aplicación. Así, por el momento, la forma de evitar la problemática de las ofertas simbólicas pasaría por que los órganos de contratación lo previeran en la preparación de los pliegos optando, por ejemplo, por una o varias de las siguientes acciones: </w:t>
      </w:r>
    </w:p>
    <w:p w14:paraId="4F71EB3C" w14:textId="77777777" w:rsidR="005F06AD" w:rsidRPr="005F06AD" w:rsidRDefault="005F06AD" w:rsidP="005F06AD">
      <w:pPr>
        <w:numPr>
          <w:ilvl w:val="0"/>
          <w:numId w:val="4"/>
        </w:numPr>
        <w:spacing w:line="360" w:lineRule="auto"/>
        <w:ind w:left="709" w:hanging="513"/>
        <w:jc w:val="both"/>
        <w:rPr>
          <w:rFonts w:eastAsia="Times New Roman" w:cstheme="minorHAnsi"/>
          <w:lang w:eastAsia="es-ES_tradnl"/>
        </w:rPr>
      </w:pPr>
      <w:r w:rsidRPr="005F06AD">
        <w:rPr>
          <w:rFonts w:eastAsia="Times New Roman" w:cstheme="minorHAnsi"/>
          <w:lang w:eastAsia="es-ES_tradnl"/>
        </w:rPr>
        <w:lastRenderedPageBreak/>
        <w:t>Introducir fórmulas matemáticas que valoren la oferta económica de acuerdo con el precio global ponderado, es decir, en las que se integren todos los componentes del precio asignándoles un peso específico a cada uno de ellos.</w:t>
      </w:r>
    </w:p>
    <w:p w14:paraId="605A386F" w14:textId="77777777" w:rsidR="005F06AD" w:rsidRPr="005F06AD" w:rsidRDefault="005F06AD" w:rsidP="005F06AD">
      <w:pPr>
        <w:numPr>
          <w:ilvl w:val="0"/>
          <w:numId w:val="4"/>
        </w:numPr>
        <w:spacing w:line="360" w:lineRule="auto"/>
        <w:ind w:left="709" w:hanging="513"/>
        <w:jc w:val="both"/>
        <w:rPr>
          <w:rFonts w:eastAsia="Times New Roman" w:cstheme="minorHAnsi"/>
          <w:lang w:eastAsia="es-ES_tradnl"/>
        </w:rPr>
      </w:pPr>
      <w:r w:rsidRPr="005F06AD">
        <w:rPr>
          <w:rFonts w:eastAsia="Times New Roman" w:cstheme="minorHAnsi"/>
          <w:lang w:eastAsia="es-ES_tradnl"/>
        </w:rPr>
        <w:t>Establecer expresamente que las ofertas simbólicas respecto a alguno de los precios unitarios se considerarán como anormales o desproporcionadas</w:t>
      </w:r>
      <w:r w:rsidRPr="005F06AD">
        <w:rPr>
          <w:rFonts w:eastAsia="Times New Roman" w:cstheme="minorHAnsi"/>
          <w:vertAlign w:val="superscript"/>
          <w:lang w:eastAsia="es-ES_tradnl"/>
        </w:rPr>
        <w:footnoteReference w:id="40"/>
      </w:r>
      <w:r w:rsidRPr="005F06AD">
        <w:rPr>
          <w:rFonts w:eastAsia="Times New Roman" w:cstheme="minorHAnsi"/>
          <w:lang w:eastAsia="es-ES_tradnl"/>
        </w:rPr>
        <w:t xml:space="preserve"> o, incluso, establecer mecanismos para la fijación de umbrales de temeridad que permitan tener en cuenta el precio global ponderado, es decir, que tengan en cuenta todos los componentes del precio, así como su peso específico.</w:t>
      </w:r>
    </w:p>
    <w:p w14:paraId="0033D9C9" w14:textId="4E61EE47" w:rsidR="005F06AD" w:rsidRPr="005F06AD" w:rsidRDefault="00A56071" w:rsidP="005F06AD">
      <w:pPr>
        <w:spacing w:line="360" w:lineRule="auto"/>
        <w:jc w:val="both"/>
        <w:rPr>
          <w:rFonts w:eastAsia="Times New Roman" w:cstheme="minorHAnsi"/>
          <w:lang w:eastAsia="es-ES_tradnl"/>
        </w:rPr>
      </w:pPr>
      <w:r>
        <w:rPr>
          <w:rFonts w:eastAsia="Times New Roman" w:cstheme="minorHAnsi"/>
          <w:lang w:eastAsia="es-ES_tradnl"/>
        </w:rPr>
        <w:t>También</w:t>
      </w:r>
      <w:r w:rsidR="005F06AD" w:rsidRPr="005F06AD">
        <w:rPr>
          <w:rFonts w:eastAsia="Times New Roman" w:cstheme="minorHAnsi"/>
          <w:lang w:eastAsia="es-ES_tradnl"/>
        </w:rPr>
        <w:t xml:space="preserve"> existirían otras alternativas como establecer en los pliegos las consecuencias aparejadas a la presentación de ofertas simbólicas. Si bien estas soluciones respetarían el principio de transparencia, lo cierto es que pudieran ser cuestionables desde el prisma del respeto al principio de la oferta económicamente más ventajosa. Este sería el caso de que los pliegos establezcan puntuaciones mínimas de valoración para las ofertas presentadas a precio de cero o establezcan expresamente la exclusión de los licitadores que presenten ofertas simbólicas o la exclusión de las ofertas que no incluyan determinados costes obligatorios</w:t>
      </w:r>
      <w:r w:rsidR="005F06AD" w:rsidRPr="005F06AD">
        <w:rPr>
          <w:rFonts w:eastAsia="Times New Roman" w:cstheme="minorHAnsi"/>
          <w:vertAlign w:val="superscript"/>
          <w:lang w:eastAsia="es-ES_tradnl"/>
        </w:rPr>
        <w:footnoteReference w:id="41"/>
      </w:r>
      <w:r w:rsidR="005F06AD" w:rsidRPr="005F06AD">
        <w:rPr>
          <w:rFonts w:eastAsia="Times New Roman" w:cstheme="minorHAnsi"/>
          <w:lang w:eastAsia="es-ES_tradnl"/>
        </w:rPr>
        <w:t xml:space="preserve"> (si bien esta solución podría ser cuestionada también por dejar vacío de contenido el mecanismo de las ofertas anormalmente bajas previsto en el artículo 149 de la LCSP</w:t>
      </w:r>
      <w:r w:rsidR="005F06AD" w:rsidRPr="005F06AD">
        <w:rPr>
          <w:rFonts w:eastAsia="Times New Roman" w:cstheme="minorHAnsi"/>
          <w:vertAlign w:val="superscript"/>
          <w:lang w:eastAsia="es-ES_tradnl"/>
        </w:rPr>
        <w:footnoteReference w:id="42"/>
      </w:r>
      <w:r w:rsidR="005F06AD" w:rsidRPr="005F06AD">
        <w:rPr>
          <w:rFonts w:eastAsia="Times New Roman" w:cstheme="minorHAnsi"/>
          <w:lang w:eastAsia="es-ES_tradnl"/>
        </w:rPr>
        <w:t xml:space="preserve">). </w:t>
      </w:r>
    </w:p>
    <w:p w14:paraId="6036B73B" w14:textId="77777777" w:rsidR="005F06AD" w:rsidRPr="005F06AD" w:rsidRDefault="005F06AD" w:rsidP="005F06AD">
      <w:pPr>
        <w:spacing w:line="360" w:lineRule="auto"/>
        <w:jc w:val="both"/>
        <w:rPr>
          <w:rFonts w:eastAsia="Times New Roman" w:cstheme="minorHAnsi"/>
          <w:lang w:eastAsia="es-ES_tradnl"/>
        </w:rPr>
      </w:pPr>
      <w:r w:rsidRPr="005F06AD">
        <w:rPr>
          <w:rFonts w:eastAsia="Times New Roman" w:cstheme="minorHAnsi"/>
          <w:lang w:eastAsia="es-ES_tradnl"/>
        </w:rPr>
        <w:t xml:space="preserve">Sin embargo, entre tanto los órganos de contratación continúen aplicando fórmulas y mecanismos estereotipados en sus pliegos sin atender a las particularidades de cada caso y anticipándose a los problemas que, durante el procedimiento de adjudicación, pudieran producirse para la valoración de las ofertas, las ofertas simbólicas seguirán estando bajo la lupa de los tribunales administrativos de recursos contractuales y el desenlace de aquellos seguirá estando abocado al éxito o al fracaso dependiendo del tribunal territorialmente competente para resolverlo. </w:t>
      </w:r>
    </w:p>
    <w:p w14:paraId="303FF54F" w14:textId="1FC0A484" w:rsidR="3B19850E" w:rsidRDefault="3B19850E" w:rsidP="005F06AD">
      <w:pPr>
        <w:spacing w:line="360" w:lineRule="auto"/>
        <w:jc w:val="both"/>
      </w:pPr>
    </w:p>
    <w:sectPr w:rsidR="3B19850E" w:rsidSect="00C74F65">
      <w:footerReference w:type="default" r:id="rId7"/>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1621" w14:textId="77777777" w:rsidR="00C74F65" w:rsidRDefault="00C74F65" w:rsidP="0046030B">
      <w:pPr>
        <w:spacing w:after="0" w:line="240" w:lineRule="auto"/>
      </w:pPr>
      <w:r>
        <w:separator/>
      </w:r>
    </w:p>
  </w:endnote>
  <w:endnote w:type="continuationSeparator" w:id="0">
    <w:p w14:paraId="0D9B028D" w14:textId="77777777" w:rsidR="00C74F65" w:rsidRDefault="00C74F65" w:rsidP="0046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06D5" w14:textId="67842042" w:rsidR="00DE105A" w:rsidRDefault="00DE1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0BA4" w14:textId="77777777" w:rsidR="00C74F65" w:rsidRDefault="00C74F65" w:rsidP="0046030B">
      <w:pPr>
        <w:spacing w:after="0" w:line="240" w:lineRule="auto"/>
      </w:pPr>
      <w:r>
        <w:separator/>
      </w:r>
    </w:p>
  </w:footnote>
  <w:footnote w:type="continuationSeparator" w:id="0">
    <w:p w14:paraId="623F3DEA" w14:textId="77777777" w:rsidR="00C74F65" w:rsidRDefault="00C74F65" w:rsidP="0046030B">
      <w:pPr>
        <w:spacing w:after="0" w:line="240" w:lineRule="auto"/>
      </w:pPr>
      <w:r>
        <w:continuationSeparator/>
      </w:r>
    </w:p>
  </w:footnote>
  <w:footnote w:id="1">
    <w:p w14:paraId="2E2029A7" w14:textId="77777777" w:rsidR="005F06AD" w:rsidRPr="00AD4C9C" w:rsidRDefault="005F06AD" w:rsidP="005F06AD">
      <w:pPr>
        <w:pStyle w:val="Textonotapie"/>
      </w:pPr>
      <w:r>
        <w:rPr>
          <w:rStyle w:val="Refdenotaalpie"/>
        </w:rPr>
        <w:footnoteRef/>
      </w:r>
      <w:r>
        <w:t xml:space="preserve"> Y tampoco lo hace la Ley Foral 2/2018, de 13de abril, de Contratos Públicos de Navarra.</w:t>
      </w:r>
    </w:p>
  </w:footnote>
  <w:footnote w:id="2">
    <w:p w14:paraId="22EABE04" w14:textId="77777777" w:rsidR="005F06AD" w:rsidRDefault="005F06AD" w:rsidP="005F06AD">
      <w:pPr>
        <w:pStyle w:val="Textonotapie"/>
      </w:pPr>
      <w:r>
        <w:rPr>
          <w:rStyle w:val="Refdenotaalpie"/>
        </w:rPr>
        <w:footnoteRef/>
      </w:r>
      <w:r>
        <w:t xml:space="preserve"> GONZÁLEZ-VARAS IBÁÑEZ, S. (2021) “Ofertas de precio cero en un contrato público”. </w:t>
      </w:r>
      <w:hyperlink r:id="rId1" w:history="1">
        <w:r w:rsidRPr="0067230A">
          <w:rPr>
            <w:rStyle w:val="Hipervnculo"/>
            <w:i/>
            <w:iCs/>
          </w:rPr>
          <w:t>https://www.administracionpublica.com/ofertas-de-precio-cero-en-un-contrato-publico/</w:t>
        </w:r>
      </w:hyperlink>
      <w:r>
        <w:rPr>
          <w:i/>
          <w:iCs/>
        </w:rPr>
        <w:t>;</w:t>
      </w:r>
    </w:p>
    <w:p w14:paraId="22886AD5" w14:textId="77777777" w:rsidR="005F06AD" w:rsidRDefault="005F06AD" w:rsidP="005F06AD">
      <w:pPr>
        <w:pStyle w:val="Textonotapie"/>
      </w:pPr>
      <w:r>
        <w:t>CASTILLO BLANCO, F. (2020) “</w:t>
      </w:r>
      <w:r w:rsidRPr="00D42267">
        <w:t>A vueltas con las ofertas irreales: pasos adelante en la búsqueda de una sana y real competencia en la compra pública</w:t>
      </w:r>
      <w:r>
        <w:t xml:space="preserve">” </w:t>
      </w:r>
      <w:hyperlink r:id="rId2" w:history="1">
        <w:r w:rsidRPr="00D42267">
          <w:rPr>
            <w:rStyle w:val="Hipervnculo"/>
            <w:i/>
            <w:iCs/>
          </w:rPr>
          <w:t>https://www.acalsl.com/blog/2022/05/ofertas_contratacion_publica</w:t>
        </w:r>
      </w:hyperlink>
      <w:r>
        <w:t>;</w:t>
      </w:r>
    </w:p>
    <w:p w14:paraId="66773CE0" w14:textId="77777777" w:rsidR="005F06AD" w:rsidRPr="000E0EAE" w:rsidRDefault="005F06AD" w:rsidP="005F06AD">
      <w:pPr>
        <w:pStyle w:val="Textonotapie"/>
      </w:pPr>
      <w:r>
        <w:t xml:space="preserve">BASTARDO YUSTOS, F.M. “Estratagemas matemáticas en la formulación de ofertas económicas”. </w:t>
      </w:r>
      <w:r w:rsidRPr="000E0EAE">
        <w:rPr>
          <w:i/>
          <w:iCs/>
        </w:rPr>
        <w:t xml:space="preserve">El Consultor de los Ayuntamientos, </w:t>
      </w:r>
      <w:proofErr w:type="spellStart"/>
      <w:r w:rsidRPr="000E0EAE">
        <w:rPr>
          <w:i/>
          <w:iCs/>
        </w:rPr>
        <w:t>Nº</w:t>
      </w:r>
      <w:proofErr w:type="spellEnd"/>
      <w:r w:rsidRPr="000E0EAE">
        <w:rPr>
          <w:i/>
          <w:iCs/>
        </w:rPr>
        <w:t xml:space="preserve"> 8, Sección Contratación del sector público, </w:t>
      </w:r>
      <w:proofErr w:type="gramStart"/>
      <w:r w:rsidRPr="000E0EAE">
        <w:rPr>
          <w:i/>
          <w:iCs/>
        </w:rPr>
        <w:t>Agosto</w:t>
      </w:r>
      <w:proofErr w:type="gramEnd"/>
      <w:r w:rsidRPr="000E0EAE">
        <w:rPr>
          <w:i/>
          <w:iCs/>
        </w:rPr>
        <w:t xml:space="preserve"> 2020, pág. 84, Wolters </w:t>
      </w:r>
      <w:proofErr w:type="spellStart"/>
      <w:r w:rsidRPr="000E0EAE">
        <w:rPr>
          <w:i/>
          <w:iCs/>
        </w:rPr>
        <w:t>Kluwer</w:t>
      </w:r>
      <w:proofErr w:type="spellEnd"/>
      <w:r>
        <w:rPr>
          <w:i/>
          <w:iCs/>
        </w:rPr>
        <w:t>.</w:t>
      </w:r>
    </w:p>
  </w:footnote>
  <w:footnote w:id="3">
    <w:p w14:paraId="076752DE" w14:textId="77777777" w:rsidR="005F06AD" w:rsidRPr="008E5430" w:rsidRDefault="005F06AD" w:rsidP="005F06AD">
      <w:pPr>
        <w:pStyle w:val="Textonotapie"/>
      </w:pPr>
      <w:r>
        <w:rPr>
          <w:rStyle w:val="Refdenotaalpie"/>
        </w:rPr>
        <w:footnoteRef/>
      </w:r>
      <w:r>
        <w:t xml:space="preserve"> También la Ley Foral 2/2018, de 13 de abril, de Contratos Públicos de Navarra, en su artículo 43.</w:t>
      </w:r>
    </w:p>
  </w:footnote>
  <w:footnote w:id="4">
    <w:p w14:paraId="21E2BAEF" w14:textId="77777777" w:rsidR="005F06AD" w:rsidRPr="006A5868" w:rsidRDefault="005F06AD" w:rsidP="005F06AD">
      <w:pPr>
        <w:pStyle w:val="Textonotapie"/>
      </w:pPr>
      <w:r>
        <w:rPr>
          <w:rStyle w:val="Refdenotaalpie"/>
        </w:rPr>
        <w:footnoteRef/>
      </w:r>
      <w:r>
        <w:t xml:space="preserve"> En relación con el alcance de dicho principio resulta particularmente ilustrativa la reflexión de SERRANO CHAMIZO, J. (2020) en </w:t>
      </w:r>
      <w:r w:rsidRPr="006A5868">
        <w:rPr>
          <w:i/>
          <w:iCs/>
        </w:rPr>
        <w:t>La Ley de contratos del sector público en la doctrina del órgano administrativo de recursos contractuales de la Comunidad Autónoma de Euskadi</w:t>
      </w:r>
      <w:r>
        <w:t>, IVAP, Instituto Vasco de Administración Pública, pp. 45 y 46.</w:t>
      </w:r>
    </w:p>
  </w:footnote>
  <w:footnote w:id="5">
    <w:p w14:paraId="122A23B7" w14:textId="77777777" w:rsidR="005F06AD" w:rsidRPr="00F82C87" w:rsidRDefault="005F06AD" w:rsidP="005F06AD">
      <w:pPr>
        <w:pStyle w:val="Textonotapie"/>
      </w:pPr>
      <w:r>
        <w:rPr>
          <w:rStyle w:val="Refdenotaalpie"/>
        </w:rPr>
        <w:footnoteRef/>
      </w:r>
      <w:r>
        <w:t xml:space="preserve"> Si bien la técnica de la inclusión de umbrales de saciedad tampoco está exenta de problemáticas, no entramos a valorarla por no ser objeto del presente trabajo. </w:t>
      </w:r>
    </w:p>
  </w:footnote>
  <w:footnote w:id="6">
    <w:p w14:paraId="75A8E27E" w14:textId="77777777" w:rsidR="005F06AD" w:rsidRPr="00902F94" w:rsidRDefault="005F06AD" w:rsidP="005F06AD">
      <w:pPr>
        <w:pStyle w:val="Textonotapie"/>
      </w:pPr>
      <w:r>
        <w:rPr>
          <w:rStyle w:val="Refdenotaalpie"/>
        </w:rPr>
        <w:footnoteRef/>
      </w:r>
      <w:r>
        <w:t xml:space="preserve"> GALLEGO CÓRCOLES, I. (2023). “Ofertas con valor cero euros”. </w:t>
      </w:r>
      <w:r w:rsidRPr="00BF70D1">
        <w:rPr>
          <w:i/>
          <w:iCs/>
        </w:rPr>
        <w:t>Observatorio de Contratación Pública.</w:t>
      </w:r>
    </w:p>
  </w:footnote>
  <w:footnote w:id="7">
    <w:p w14:paraId="6B05F2C2" w14:textId="77777777" w:rsidR="005F06AD" w:rsidRPr="00227D31" w:rsidRDefault="005F06AD" w:rsidP="005F06AD">
      <w:pPr>
        <w:pStyle w:val="Textonotapie"/>
      </w:pPr>
      <w:r>
        <w:rPr>
          <w:rStyle w:val="Refdenotaalpie"/>
        </w:rPr>
        <w:footnoteRef/>
      </w:r>
      <w:r>
        <w:t xml:space="preserve"> Véase Resolución del Tribunal Administrativo Central de Recursos Contractuales número 1485/2023, de 16 de noviembre (</w:t>
      </w:r>
      <w:proofErr w:type="spellStart"/>
      <w:r>
        <w:t>rec.</w:t>
      </w:r>
      <w:proofErr w:type="spellEnd"/>
      <w:r>
        <w:t xml:space="preserve"> 1228/2023).</w:t>
      </w:r>
    </w:p>
  </w:footnote>
  <w:footnote w:id="8">
    <w:p w14:paraId="5E3EE766" w14:textId="77777777" w:rsidR="005F06AD" w:rsidRPr="0008450E" w:rsidRDefault="005F06AD" w:rsidP="005F06AD">
      <w:pPr>
        <w:pStyle w:val="Textonotapie"/>
      </w:pPr>
      <w:r>
        <w:rPr>
          <w:rStyle w:val="Refdenotaalpie"/>
        </w:rPr>
        <w:footnoteRef/>
      </w:r>
      <w:r>
        <w:t xml:space="preserve"> SANMARTÍN MORA, M.A. (2019). “Oferta económica a precio cero que se considera realizada en fraude de ley”. </w:t>
      </w:r>
      <w:r w:rsidRPr="0008450E">
        <w:rPr>
          <w:i/>
          <w:iCs/>
        </w:rPr>
        <w:t>Observatorio de Contratación Pública.</w:t>
      </w:r>
    </w:p>
  </w:footnote>
  <w:footnote w:id="9">
    <w:p w14:paraId="2E4015B0" w14:textId="77777777" w:rsidR="005F06AD" w:rsidRPr="00155379" w:rsidRDefault="005F06AD" w:rsidP="005F06AD">
      <w:pPr>
        <w:pStyle w:val="Textonotapie"/>
      </w:pPr>
      <w:r>
        <w:rPr>
          <w:rStyle w:val="Refdenotaalpie"/>
        </w:rPr>
        <w:footnoteRef/>
      </w:r>
      <w:r>
        <w:t xml:space="preserve"> BLÁZQUEZ LIDOY, A. (2023). “Precio cero o irrisorio en la Ley de Contratos del Sector Público e Impuesto sobre el Valor Añadido”. </w:t>
      </w:r>
      <w:r w:rsidRPr="0008450E">
        <w:rPr>
          <w:i/>
          <w:iCs/>
        </w:rPr>
        <w:t>Observatorio de Contratación Pública.</w:t>
      </w:r>
    </w:p>
  </w:footnote>
  <w:footnote w:id="10">
    <w:p w14:paraId="6B8CCE69" w14:textId="77777777" w:rsidR="005F06AD" w:rsidRPr="00D26B36" w:rsidRDefault="005F06AD" w:rsidP="005F06AD">
      <w:pPr>
        <w:pStyle w:val="Textonotapie"/>
      </w:pPr>
      <w:r>
        <w:rPr>
          <w:rStyle w:val="Refdenotaalpie"/>
        </w:rPr>
        <w:footnoteRef/>
      </w:r>
      <w:r>
        <w:t xml:space="preserve"> Véase RTACRC número 1492/2023, de 16 de noviembre (</w:t>
      </w:r>
      <w:proofErr w:type="spellStart"/>
      <w:r>
        <w:t>rec.</w:t>
      </w:r>
      <w:proofErr w:type="spellEnd"/>
      <w:r>
        <w:t xml:space="preserve"> 1363/2023).</w:t>
      </w:r>
    </w:p>
  </w:footnote>
  <w:footnote w:id="11">
    <w:p w14:paraId="13D78B4E" w14:textId="77777777" w:rsidR="005F06AD" w:rsidRPr="0020154D" w:rsidRDefault="005F06AD" w:rsidP="005F06AD">
      <w:pPr>
        <w:pStyle w:val="Textonotapie"/>
      </w:pPr>
      <w:r>
        <w:rPr>
          <w:rStyle w:val="Refdenotaalpie"/>
        </w:rPr>
        <w:footnoteRef/>
      </w:r>
      <w:r>
        <w:t xml:space="preserve"> V</w:t>
      </w:r>
      <w:r w:rsidRPr="0020154D">
        <w:t xml:space="preserve">éanse, entre otras, </w:t>
      </w:r>
      <w:r>
        <w:t>Resolución 1555/2023, de 30 de noviembre (</w:t>
      </w:r>
      <w:proofErr w:type="spellStart"/>
      <w:r>
        <w:t>rec.</w:t>
      </w:r>
      <w:proofErr w:type="spellEnd"/>
      <w:r>
        <w:t xml:space="preserve"> 1461/2023); </w:t>
      </w:r>
      <w:r w:rsidRPr="0020154D">
        <w:t>Resolución número 815/2022 de 1 de julio</w:t>
      </w:r>
      <w:r>
        <w:t xml:space="preserve"> (</w:t>
      </w:r>
      <w:proofErr w:type="spellStart"/>
      <w:r w:rsidRPr="0020154D">
        <w:t>rec.</w:t>
      </w:r>
      <w:proofErr w:type="spellEnd"/>
      <w:r w:rsidRPr="0020154D">
        <w:t xml:space="preserve"> 693/2022</w:t>
      </w:r>
      <w:r>
        <w:t>)</w:t>
      </w:r>
      <w:r w:rsidRPr="0020154D">
        <w:t>; Resolución número 683/2022, de 7 de junio</w:t>
      </w:r>
      <w:r>
        <w:t xml:space="preserve"> (</w:t>
      </w:r>
      <w:proofErr w:type="spellStart"/>
      <w:r w:rsidRPr="0020154D">
        <w:t>rec.</w:t>
      </w:r>
      <w:proofErr w:type="spellEnd"/>
      <w:r w:rsidRPr="0020154D">
        <w:t xml:space="preserve"> 485/2022</w:t>
      </w:r>
      <w:r>
        <w:t>)</w:t>
      </w:r>
      <w:r w:rsidRPr="0020154D">
        <w:t>; y Resolución número 1737/2021, de 2 de diciembre</w:t>
      </w:r>
      <w:r>
        <w:t xml:space="preserve"> (</w:t>
      </w:r>
      <w:proofErr w:type="spellStart"/>
      <w:r w:rsidRPr="0020154D">
        <w:t>rec.</w:t>
      </w:r>
      <w:proofErr w:type="spellEnd"/>
      <w:r w:rsidRPr="0020154D">
        <w:t xml:space="preserve"> 1534/2021</w:t>
      </w:r>
      <w:r>
        <w:t>).</w:t>
      </w:r>
    </w:p>
  </w:footnote>
  <w:footnote w:id="12">
    <w:p w14:paraId="4F07FE3C" w14:textId="77777777" w:rsidR="005F06AD" w:rsidRPr="002D6E1C" w:rsidRDefault="005F06AD" w:rsidP="005F06AD">
      <w:pPr>
        <w:pStyle w:val="Textonotapie"/>
      </w:pPr>
      <w:r>
        <w:rPr>
          <w:rStyle w:val="Refdenotaalpie"/>
        </w:rPr>
        <w:footnoteRef/>
      </w:r>
      <w:r>
        <w:t xml:space="preserve"> Véase RTACRC número 1066/2022, de 15 de septiembre (</w:t>
      </w:r>
      <w:proofErr w:type="spellStart"/>
      <w:r>
        <w:t>rec.</w:t>
      </w:r>
      <w:proofErr w:type="spellEnd"/>
      <w:r>
        <w:t xml:space="preserve"> 946/2022).</w:t>
      </w:r>
    </w:p>
  </w:footnote>
  <w:footnote w:id="13">
    <w:p w14:paraId="00B127E8" w14:textId="77777777" w:rsidR="005F06AD" w:rsidRPr="00155379" w:rsidRDefault="005F06AD" w:rsidP="005F06AD">
      <w:pPr>
        <w:pStyle w:val="Textonotapie"/>
      </w:pPr>
      <w:r>
        <w:rPr>
          <w:rStyle w:val="Refdenotaalpie"/>
        </w:rPr>
        <w:footnoteRef/>
      </w:r>
      <w:r>
        <w:t xml:space="preserve"> Véanse </w:t>
      </w:r>
      <w:r w:rsidRPr="00F97BDF">
        <w:t>RTACRC número 1145/2023, de 14 de septiembre (</w:t>
      </w:r>
      <w:proofErr w:type="spellStart"/>
      <w:r w:rsidRPr="00F97BDF">
        <w:t>rec.</w:t>
      </w:r>
      <w:proofErr w:type="spellEnd"/>
      <w:r w:rsidRPr="00F97BDF">
        <w:t xml:space="preserve"> 1197/2023) </w:t>
      </w:r>
      <w:r>
        <w:t>y RTCARC número 1694/2022, de 29 de diciembre (</w:t>
      </w:r>
      <w:proofErr w:type="spellStart"/>
      <w:r>
        <w:t>rec.</w:t>
      </w:r>
      <w:proofErr w:type="spellEnd"/>
      <w:r>
        <w:t xml:space="preserve"> 1479/2022).</w:t>
      </w:r>
    </w:p>
  </w:footnote>
  <w:footnote w:id="14">
    <w:p w14:paraId="2754962C" w14:textId="77777777" w:rsidR="005F06AD" w:rsidRPr="00AE5100" w:rsidRDefault="005F06AD" w:rsidP="005F06AD">
      <w:pPr>
        <w:pStyle w:val="Textonotapie"/>
      </w:pPr>
      <w:r>
        <w:rPr>
          <w:rStyle w:val="Refdenotaalpie"/>
        </w:rPr>
        <w:footnoteRef/>
      </w:r>
      <w:r>
        <w:t xml:space="preserve"> Véanse, entre otras, RTACRC número 727/2023, de 8 de junio (</w:t>
      </w:r>
      <w:proofErr w:type="spellStart"/>
      <w:r>
        <w:t>rec.</w:t>
      </w:r>
      <w:proofErr w:type="spellEnd"/>
      <w:r>
        <w:t xml:space="preserve"> 648/2023) y número 515/2022, de 6 de mayo (</w:t>
      </w:r>
      <w:proofErr w:type="spellStart"/>
      <w:r>
        <w:t>rec.</w:t>
      </w:r>
      <w:proofErr w:type="spellEnd"/>
      <w:r>
        <w:t xml:space="preserve"> 193/2022).</w:t>
      </w:r>
      <w:r w:rsidRPr="00627CA1">
        <w:rPr>
          <w:rStyle w:val="Refdenotaalpie"/>
        </w:rPr>
        <w:t xml:space="preserve"> </w:t>
      </w:r>
    </w:p>
  </w:footnote>
  <w:footnote w:id="15">
    <w:p w14:paraId="7311D3E0" w14:textId="77777777" w:rsidR="005F06AD" w:rsidRPr="00627CA1" w:rsidRDefault="005F06AD" w:rsidP="005F06AD">
      <w:pPr>
        <w:pStyle w:val="Textonotapie"/>
      </w:pPr>
      <w:r>
        <w:rPr>
          <w:rStyle w:val="Refdenotaalpie"/>
        </w:rPr>
        <w:footnoteRef/>
      </w:r>
      <w:r>
        <w:t>Véase RTACRC número 695/2023, de 8 de junio (</w:t>
      </w:r>
      <w:proofErr w:type="spellStart"/>
      <w:r>
        <w:t>rec.</w:t>
      </w:r>
      <w:proofErr w:type="spellEnd"/>
      <w:r>
        <w:t xml:space="preserve"> 637/2023).</w:t>
      </w:r>
    </w:p>
  </w:footnote>
  <w:footnote w:id="16">
    <w:p w14:paraId="0DFA1F11" w14:textId="77777777" w:rsidR="005F06AD" w:rsidRPr="00902F94" w:rsidRDefault="005F06AD" w:rsidP="005F06AD">
      <w:pPr>
        <w:pStyle w:val="Textonotapie"/>
      </w:pPr>
      <w:r>
        <w:rPr>
          <w:rStyle w:val="Refdenotaalpie"/>
        </w:rPr>
        <w:footnoteRef/>
      </w:r>
      <w:r>
        <w:t xml:space="preserve"> </w:t>
      </w:r>
      <w:r w:rsidRPr="00DA66CD">
        <w:t>Cabe señalar qué no todas las ofertas bajas pueden calificarse como ofertas simbólicas. De hecho, el TACRC ha confirmado que precios de 2,20 euros, 3 euros o 5 euros, en conceptos que habían sido presupuestados por el órgano de contratación en torno a los 40 euros, si bien son bajos, no pueden considerarse precios cero o casi cero (</w:t>
      </w:r>
      <w:r w:rsidRPr="00902F94">
        <w:t xml:space="preserve">Véase RTACRC número 1524/2023, de 23 de noviembre, </w:t>
      </w:r>
      <w:proofErr w:type="spellStart"/>
      <w:r w:rsidRPr="00902F94">
        <w:t>rec.</w:t>
      </w:r>
      <w:proofErr w:type="spellEnd"/>
      <w:r w:rsidRPr="00902F94">
        <w:t xml:space="preserve"> 1399/2023</w:t>
      </w:r>
      <w:r w:rsidRPr="00DA66CD">
        <w:t>).</w:t>
      </w:r>
    </w:p>
  </w:footnote>
  <w:footnote w:id="17">
    <w:p w14:paraId="4F869396" w14:textId="77777777" w:rsidR="005F06AD" w:rsidRPr="00A64080" w:rsidRDefault="005F06AD" w:rsidP="005F06AD">
      <w:pPr>
        <w:pStyle w:val="Textonotapie"/>
      </w:pPr>
      <w:r>
        <w:rPr>
          <w:rStyle w:val="Refdenotaalpie"/>
        </w:rPr>
        <w:footnoteRef/>
      </w:r>
      <w:r>
        <w:t xml:space="preserve"> V</w:t>
      </w:r>
      <w:r w:rsidRPr="00A64080">
        <w:t>éase la Resolución número 1409/2023, de 27 de octubre</w:t>
      </w:r>
      <w:r>
        <w:t xml:space="preserve"> (</w:t>
      </w:r>
      <w:proofErr w:type="spellStart"/>
      <w:r w:rsidRPr="00A64080">
        <w:t>rec.</w:t>
      </w:r>
      <w:proofErr w:type="spellEnd"/>
      <w:r w:rsidRPr="00A64080">
        <w:t xml:space="preserve"> 1299/2023</w:t>
      </w:r>
      <w:r>
        <w:t>).</w:t>
      </w:r>
    </w:p>
  </w:footnote>
  <w:footnote w:id="18">
    <w:p w14:paraId="78D8B51C" w14:textId="77777777" w:rsidR="005F06AD" w:rsidRPr="002659AD" w:rsidRDefault="005F06AD" w:rsidP="005F06AD">
      <w:pPr>
        <w:pStyle w:val="Textonotapie"/>
      </w:pPr>
      <w:r>
        <w:rPr>
          <w:rStyle w:val="Refdenotaalpie"/>
        </w:rPr>
        <w:footnoteRef/>
      </w:r>
      <w:r>
        <w:t xml:space="preserve"> Véanse RTACRC número 1145/2023, de 14 de septiembre (</w:t>
      </w:r>
      <w:proofErr w:type="spellStart"/>
      <w:r>
        <w:t>rec.</w:t>
      </w:r>
      <w:proofErr w:type="spellEnd"/>
      <w:r>
        <w:t xml:space="preserve"> 1197/2023) y número 1649/2022, de 19 de diciembre (rec.1479/2022); Resolución número 17/2020, del Tribunal Administrativo de Recursos Contractuales de Castilla y León (</w:t>
      </w:r>
      <w:proofErr w:type="spellStart"/>
      <w:r>
        <w:t>rec.</w:t>
      </w:r>
      <w:proofErr w:type="spellEnd"/>
      <w:r>
        <w:t xml:space="preserve"> </w:t>
      </w:r>
      <w:r w:rsidRPr="007D747C">
        <w:t>223, 224 y 225/2019 (Acumulados</w:t>
      </w:r>
      <w:r>
        <w:t xml:space="preserve">); y el Resolución número 576/2023, de 2 de noviembre (Rec. N-2023-0218) del </w:t>
      </w:r>
      <w:r w:rsidRPr="00C65F66">
        <w:t xml:space="preserve">Tribunal Catalá de Contractes del Sector </w:t>
      </w:r>
      <w:proofErr w:type="spellStart"/>
      <w:r w:rsidRPr="00C65F66">
        <w:t>Públic</w:t>
      </w:r>
      <w:proofErr w:type="spellEnd"/>
      <w:r>
        <w:t>.</w:t>
      </w:r>
    </w:p>
  </w:footnote>
  <w:footnote w:id="19">
    <w:p w14:paraId="2CA8E849" w14:textId="77777777" w:rsidR="005F06AD" w:rsidRPr="00106261" w:rsidRDefault="005F06AD" w:rsidP="005F06AD">
      <w:pPr>
        <w:pStyle w:val="Textonotapie"/>
      </w:pPr>
      <w:r>
        <w:rPr>
          <w:rStyle w:val="Refdenotaalpie"/>
        </w:rPr>
        <w:footnoteRef/>
      </w:r>
      <w:r>
        <w:t xml:space="preserve"> V</w:t>
      </w:r>
      <w:r w:rsidRPr="00332671">
        <w:t>éa</w:t>
      </w:r>
      <w:r>
        <w:t>n</w:t>
      </w:r>
      <w:r w:rsidRPr="00332671">
        <w:t>se</w:t>
      </w:r>
      <w:r>
        <w:t>, entre otras,</w:t>
      </w:r>
      <w:r w:rsidRPr="00332671">
        <w:t xml:space="preserve"> Resoluci</w:t>
      </w:r>
      <w:r>
        <w:t>ón</w:t>
      </w:r>
      <w:r w:rsidRPr="00332671">
        <w:t xml:space="preserve"> </w:t>
      </w:r>
      <w:r w:rsidRPr="0024453E">
        <w:t xml:space="preserve">número </w:t>
      </w:r>
      <w:r>
        <w:t>1066</w:t>
      </w:r>
      <w:r w:rsidRPr="0024453E">
        <w:t xml:space="preserve">/2022, de </w:t>
      </w:r>
      <w:r>
        <w:t>15 de septiembre</w:t>
      </w:r>
      <w:r w:rsidRPr="0024453E">
        <w:t xml:space="preserve">, </w:t>
      </w:r>
      <w:proofErr w:type="spellStart"/>
      <w:r w:rsidRPr="0024453E">
        <w:t>rec.</w:t>
      </w:r>
      <w:proofErr w:type="spellEnd"/>
      <w:r w:rsidRPr="0024453E">
        <w:t xml:space="preserve"> </w:t>
      </w:r>
      <w:r>
        <w:t>946</w:t>
      </w:r>
      <w:r w:rsidRPr="0024453E">
        <w:t>/202</w:t>
      </w:r>
      <w:r>
        <w:t xml:space="preserve">2; </w:t>
      </w:r>
      <w:r w:rsidRPr="00332671">
        <w:t>Resoluci</w:t>
      </w:r>
      <w:r>
        <w:t>ón</w:t>
      </w:r>
      <w:r w:rsidRPr="00332671">
        <w:t xml:space="preserve"> </w:t>
      </w:r>
      <w:r w:rsidRPr="0024453E">
        <w:t xml:space="preserve">número </w:t>
      </w:r>
      <w:r>
        <w:t>815</w:t>
      </w:r>
      <w:r w:rsidRPr="0024453E">
        <w:t xml:space="preserve">/2022, de </w:t>
      </w:r>
      <w:r>
        <w:t>1 de julio</w:t>
      </w:r>
      <w:r w:rsidRPr="0024453E">
        <w:t xml:space="preserve">, </w:t>
      </w:r>
      <w:proofErr w:type="spellStart"/>
      <w:r w:rsidRPr="0024453E">
        <w:t>rec.</w:t>
      </w:r>
      <w:proofErr w:type="spellEnd"/>
      <w:r w:rsidRPr="0024453E">
        <w:t xml:space="preserve"> </w:t>
      </w:r>
      <w:r>
        <w:t>693</w:t>
      </w:r>
      <w:r w:rsidRPr="0024453E">
        <w:t>/202</w:t>
      </w:r>
      <w:r>
        <w:t xml:space="preserve">2; </w:t>
      </w:r>
      <w:r w:rsidRPr="00332671">
        <w:t>Resoluci</w:t>
      </w:r>
      <w:r>
        <w:t>ón</w:t>
      </w:r>
      <w:r w:rsidRPr="00332671">
        <w:t xml:space="preserve"> </w:t>
      </w:r>
      <w:r w:rsidRPr="0024453E">
        <w:t xml:space="preserve">número </w:t>
      </w:r>
      <w:r>
        <w:t>515</w:t>
      </w:r>
      <w:r w:rsidRPr="0024453E">
        <w:t xml:space="preserve">/2022, de </w:t>
      </w:r>
      <w:r>
        <w:t>5 de mayo</w:t>
      </w:r>
      <w:r w:rsidRPr="0024453E">
        <w:t xml:space="preserve">, </w:t>
      </w:r>
      <w:proofErr w:type="spellStart"/>
      <w:r w:rsidRPr="004A03A9">
        <w:t>rec.</w:t>
      </w:r>
      <w:proofErr w:type="spellEnd"/>
      <w:r w:rsidRPr="004A03A9">
        <w:t xml:space="preserve"> 193/2022</w:t>
      </w:r>
      <w:r>
        <w:t xml:space="preserve">; </w:t>
      </w:r>
      <w:r w:rsidRPr="00332671">
        <w:t>Resoluci</w:t>
      </w:r>
      <w:r>
        <w:t>ón</w:t>
      </w:r>
      <w:r w:rsidRPr="00332671">
        <w:t xml:space="preserve"> número 299/2023 de 9 de marzo, </w:t>
      </w:r>
      <w:proofErr w:type="spellStart"/>
      <w:r w:rsidRPr="00332671">
        <w:t>rec.</w:t>
      </w:r>
      <w:proofErr w:type="spellEnd"/>
      <w:r w:rsidRPr="00332671">
        <w:t xml:space="preserve"> 59/2023</w:t>
      </w:r>
      <w:r>
        <w:t>;</w:t>
      </w:r>
      <w:r w:rsidRPr="00332671">
        <w:t xml:space="preserve"> y Resoluci</w:t>
      </w:r>
      <w:r>
        <w:t>ón</w:t>
      </w:r>
      <w:r w:rsidRPr="00332671">
        <w:t xml:space="preserve"> número 25/2022, de 14 de enero, </w:t>
      </w:r>
      <w:proofErr w:type="spellStart"/>
      <w:r w:rsidRPr="00332671">
        <w:t>rec.</w:t>
      </w:r>
      <w:proofErr w:type="spellEnd"/>
      <w:r w:rsidRPr="00332671">
        <w:t xml:space="preserve"> 1826/2021</w:t>
      </w:r>
      <w:r>
        <w:t>.</w:t>
      </w:r>
    </w:p>
  </w:footnote>
  <w:footnote w:id="20">
    <w:p w14:paraId="66E40EC3" w14:textId="77777777" w:rsidR="005F06AD" w:rsidRDefault="005F06AD" w:rsidP="005F06AD">
      <w:pPr>
        <w:pStyle w:val="Textonotapie"/>
      </w:pPr>
      <w:r>
        <w:rPr>
          <w:rStyle w:val="Refdenotaalpie"/>
        </w:rPr>
        <w:footnoteRef/>
      </w:r>
      <w:r>
        <w:t xml:space="preserve"> Véase RTACRC número 695/2023, de 8 de junio (</w:t>
      </w:r>
      <w:proofErr w:type="spellStart"/>
      <w:r>
        <w:t>rec.</w:t>
      </w:r>
      <w:proofErr w:type="spellEnd"/>
      <w:r>
        <w:t xml:space="preserve"> 637/2023)</w:t>
      </w:r>
    </w:p>
  </w:footnote>
  <w:footnote w:id="21">
    <w:p w14:paraId="56172B4D" w14:textId="77777777" w:rsidR="005F06AD" w:rsidRPr="00A64080" w:rsidRDefault="005F06AD" w:rsidP="005F06AD">
      <w:pPr>
        <w:pStyle w:val="Textonotapie"/>
      </w:pPr>
      <w:r>
        <w:rPr>
          <w:rStyle w:val="Refdenotaalpie"/>
        </w:rPr>
        <w:footnoteRef/>
      </w:r>
      <w:r>
        <w:t xml:space="preserve"> V</w:t>
      </w:r>
      <w:r w:rsidRPr="00A64080">
        <w:t>éanse, entre otras, Resolución número 104/2022, de 27 de enero</w:t>
      </w:r>
      <w:r>
        <w:t xml:space="preserve"> (</w:t>
      </w:r>
      <w:proofErr w:type="spellStart"/>
      <w:r w:rsidRPr="00A64080">
        <w:t>rec.</w:t>
      </w:r>
      <w:proofErr w:type="spellEnd"/>
      <w:r w:rsidRPr="00A64080">
        <w:t xml:space="preserve"> 1777/2021</w:t>
      </w:r>
      <w:r>
        <w:t>)</w:t>
      </w:r>
      <w:r w:rsidRPr="00A64080">
        <w:t>; Resolución número 1180/2021, de 15 de septiembre</w:t>
      </w:r>
      <w:r>
        <w:t xml:space="preserve"> (</w:t>
      </w:r>
      <w:proofErr w:type="spellStart"/>
      <w:r w:rsidRPr="00A64080">
        <w:t>rec.</w:t>
      </w:r>
      <w:proofErr w:type="spellEnd"/>
      <w:r w:rsidRPr="00A64080">
        <w:t xml:space="preserve"> 882/2021</w:t>
      </w:r>
      <w:r>
        <w:t>)</w:t>
      </w:r>
      <w:r w:rsidRPr="00A64080">
        <w:t>; y Resolución número 827/2021, de 8 de julio</w:t>
      </w:r>
      <w:r>
        <w:t xml:space="preserve"> (</w:t>
      </w:r>
      <w:proofErr w:type="spellStart"/>
      <w:r w:rsidRPr="00A64080">
        <w:t>rec.</w:t>
      </w:r>
      <w:proofErr w:type="spellEnd"/>
      <w:r w:rsidRPr="00A64080">
        <w:t xml:space="preserve"> 119/2021</w:t>
      </w:r>
      <w:r>
        <w:t>).</w:t>
      </w:r>
    </w:p>
  </w:footnote>
  <w:footnote w:id="22">
    <w:p w14:paraId="51E5085B" w14:textId="77777777" w:rsidR="005F06AD" w:rsidRPr="00A64080" w:rsidRDefault="005F06AD" w:rsidP="005F06AD">
      <w:pPr>
        <w:pStyle w:val="Textonotapie"/>
      </w:pPr>
      <w:r>
        <w:rPr>
          <w:rStyle w:val="Refdenotaalpie"/>
        </w:rPr>
        <w:footnoteRef/>
      </w:r>
      <w:r>
        <w:t xml:space="preserve"> V</w:t>
      </w:r>
      <w:r w:rsidRPr="00A64080">
        <w:t>éase Resolución número 25/2022, de 14 de enero (</w:t>
      </w:r>
      <w:proofErr w:type="spellStart"/>
      <w:r w:rsidRPr="00A64080">
        <w:t>rec.</w:t>
      </w:r>
      <w:proofErr w:type="spellEnd"/>
      <w:r w:rsidRPr="00A64080">
        <w:t xml:space="preserve"> 1826/2021)</w:t>
      </w:r>
      <w:r>
        <w:t>.</w:t>
      </w:r>
    </w:p>
  </w:footnote>
  <w:footnote w:id="23">
    <w:p w14:paraId="5A7E6DAA" w14:textId="77777777" w:rsidR="005F06AD" w:rsidRPr="00A64080" w:rsidRDefault="005F06AD" w:rsidP="005F06AD">
      <w:pPr>
        <w:pStyle w:val="Textonotapie"/>
      </w:pPr>
      <w:r>
        <w:rPr>
          <w:rStyle w:val="Refdenotaalpie"/>
        </w:rPr>
        <w:footnoteRef/>
      </w:r>
      <w:r>
        <w:t xml:space="preserve"> V</w:t>
      </w:r>
      <w:r w:rsidRPr="00A64080">
        <w:t>éase Resolución número 827/2021, de 8 de julio (</w:t>
      </w:r>
      <w:proofErr w:type="spellStart"/>
      <w:r w:rsidRPr="00A64080">
        <w:t>rec.</w:t>
      </w:r>
      <w:proofErr w:type="spellEnd"/>
      <w:r w:rsidRPr="00A64080">
        <w:t xml:space="preserve"> 119/2021)</w:t>
      </w:r>
      <w:r>
        <w:t>.</w:t>
      </w:r>
    </w:p>
  </w:footnote>
  <w:footnote w:id="24">
    <w:p w14:paraId="3F41EE19" w14:textId="77777777" w:rsidR="005F06AD" w:rsidRPr="00106261" w:rsidRDefault="005F06AD" w:rsidP="005F06AD">
      <w:pPr>
        <w:pStyle w:val="Textonotapie"/>
      </w:pPr>
      <w:r>
        <w:rPr>
          <w:rStyle w:val="Refdenotaalpie"/>
        </w:rPr>
        <w:footnoteRef/>
      </w:r>
      <w:r>
        <w:t xml:space="preserve"> V</w:t>
      </w:r>
      <w:r w:rsidRPr="003E79A2">
        <w:t>éa</w:t>
      </w:r>
      <w:r>
        <w:t>n</w:t>
      </w:r>
      <w:r w:rsidRPr="003E79A2">
        <w:t>se</w:t>
      </w:r>
      <w:r>
        <w:t>, entre otras,</w:t>
      </w:r>
      <w:r w:rsidRPr="003E79A2">
        <w:t xml:space="preserve"> Resolución </w:t>
      </w:r>
      <w:r>
        <w:t xml:space="preserve">número 774/2022 de 23 de junio, </w:t>
      </w:r>
      <w:proofErr w:type="spellStart"/>
      <w:r>
        <w:t>rec.</w:t>
      </w:r>
      <w:proofErr w:type="spellEnd"/>
      <w:r>
        <w:t xml:space="preserve"> 669/2022; </w:t>
      </w:r>
      <w:r w:rsidRPr="003E79A2">
        <w:t xml:space="preserve">Resolución número 1737/2021, de 2 de diciembre, </w:t>
      </w:r>
      <w:proofErr w:type="spellStart"/>
      <w:r w:rsidRPr="003E79A2">
        <w:t>rec.</w:t>
      </w:r>
      <w:proofErr w:type="spellEnd"/>
      <w:r w:rsidRPr="003E79A2">
        <w:t xml:space="preserve"> 1534/2021;</w:t>
      </w:r>
      <w:r>
        <w:t xml:space="preserve"> y</w:t>
      </w:r>
      <w:r w:rsidRPr="003E79A2">
        <w:t xml:space="preserve"> </w:t>
      </w:r>
      <w:r w:rsidRPr="00CB40A1">
        <w:t xml:space="preserve">Resolución </w:t>
      </w:r>
      <w:r>
        <w:t xml:space="preserve">número </w:t>
      </w:r>
      <w:r w:rsidRPr="00CB40A1">
        <w:t xml:space="preserve">1596/2021 de 12 </w:t>
      </w:r>
      <w:r>
        <w:t>de noviembre</w:t>
      </w:r>
      <w:r w:rsidRPr="00CB40A1">
        <w:t xml:space="preserve">, </w:t>
      </w:r>
      <w:proofErr w:type="spellStart"/>
      <w:r>
        <w:t>r</w:t>
      </w:r>
      <w:r w:rsidRPr="00CB40A1">
        <w:t>ec.</w:t>
      </w:r>
      <w:proofErr w:type="spellEnd"/>
      <w:r w:rsidRPr="00CB40A1">
        <w:t xml:space="preserve"> 1393/2021</w:t>
      </w:r>
      <w:r>
        <w:t>.</w:t>
      </w:r>
    </w:p>
  </w:footnote>
  <w:footnote w:id="25">
    <w:p w14:paraId="5F57F8AA" w14:textId="77777777" w:rsidR="005F06AD" w:rsidRPr="0090118A" w:rsidRDefault="005F06AD" w:rsidP="005F06AD">
      <w:pPr>
        <w:pStyle w:val="Textonotapie"/>
      </w:pPr>
      <w:r>
        <w:rPr>
          <w:rStyle w:val="Refdenotaalpie"/>
        </w:rPr>
        <w:footnoteRef/>
      </w:r>
      <w:r>
        <w:t xml:space="preserve"> V</w:t>
      </w:r>
      <w:r w:rsidRPr="00D25F5E">
        <w:t>éase, entre otras, la Resolución número 1004/2023 de 27 de julio</w:t>
      </w:r>
      <w:r>
        <w:t xml:space="preserve"> (</w:t>
      </w:r>
      <w:proofErr w:type="spellStart"/>
      <w:r w:rsidRPr="00D25F5E">
        <w:t>rec.</w:t>
      </w:r>
      <w:proofErr w:type="spellEnd"/>
      <w:r w:rsidRPr="00D25F5E">
        <w:t xml:space="preserve"> 934/2023</w:t>
      </w:r>
      <w:r>
        <w:t>).</w:t>
      </w:r>
    </w:p>
  </w:footnote>
  <w:footnote w:id="26">
    <w:p w14:paraId="4CEB8BD1" w14:textId="77777777" w:rsidR="005F06AD" w:rsidRPr="00106261" w:rsidRDefault="005F06AD" w:rsidP="005F06AD">
      <w:pPr>
        <w:pStyle w:val="Textonotapie"/>
      </w:pPr>
      <w:r>
        <w:rPr>
          <w:rStyle w:val="Refdenotaalpie"/>
        </w:rPr>
        <w:footnoteRef/>
      </w:r>
      <w:r>
        <w:t xml:space="preserve"> V</w:t>
      </w:r>
      <w:r w:rsidRPr="00106261">
        <w:t>éanse, entre otras, Resolución número 49/2022, de 3 de febrero</w:t>
      </w:r>
      <w:r>
        <w:t xml:space="preserve"> (</w:t>
      </w:r>
      <w:proofErr w:type="spellStart"/>
      <w:r w:rsidRPr="00106261">
        <w:t>rec.</w:t>
      </w:r>
      <w:proofErr w:type="spellEnd"/>
      <w:r w:rsidRPr="00106261">
        <w:t xml:space="preserve"> 17/2022</w:t>
      </w:r>
      <w:r>
        <w:t>)</w:t>
      </w:r>
      <w:r w:rsidRPr="00106261">
        <w:t>; Resolución número 134/2023, de 30 de marzo</w:t>
      </w:r>
      <w:r>
        <w:t xml:space="preserve"> (</w:t>
      </w:r>
      <w:proofErr w:type="spellStart"/>
      <w:r w:rsidRPr="00106261">
        <w:t>rec.</w:t>
      </w:r>
      <w:proofErr w:type="spellEnd"/>
      <w:r w:rsidRPr="00106261">
        <w:t xml:space="preserve"> 112/2023</w:t>
      </w:r>
      <w:r>
        <w:t>)</w:t>
      </w:r>
      <w:r w:rsidRPr="00106261">
        <w:t>; Resolución número 190/2022, de 16 de mayo</w:t>
      </w:r>
      <w:r>
        <w:t xml:space="preserve"> (</w:t>
      </w:r>
      <w:proofErr w:type="spellStart"/>
      <w:r w:rsidRPr="00106261">
        <w:t>rec.</w:t>
      </w:r>
      <w:proofErr w:type="spellEnd"/>
      <w:r w:rsidRPr="00106261">
        <w:t xml:space="preserve"> 157/2022</w:t>
      </w:r>
      <w:r>
        <w:t>)</w:t>
      </w:r>
      <w:r w:rsidRPr="00106261">
        <w:t xml:space="preserve"> y Resolución número 176/2023, de 4 de mayo</w:t>
      </w:r>
      <w:r>
        <w:t xml:space="preserve"> (</w:t>
      </w:r>
      <w:proofErr w:type="spellStart"/>
      <w:r w:rsidRPr="00106261">
        <w:t>rec.</w:t>
      </w:r>
      <w:proofErr w:type="spellEnd"/>
      <w:r w:rsidRPr="00106261">
        <w:t xml:space="preserve"> 149/2023</w:t>
      </w:r>
      <w:r>
        <w:t>).</w:t>
      </w:r>
    </w:p>
  </w:footnote>
  <w:footnote w:id="27">
    <w:p w14:paraId="035FA6A6" w14:textId="77777777" w:rsidR="005F06AD" w:rsidRPr="00106261" w:rsidRDefault="005F06AD" w:rsidP="005F06AD">
      <w:pPr>
        <w:pStyle w:val="Textonotapie"/>
      </w:pPr>
      <w:r>
        <w:rPr>
          <w:rStyle w:val="Refdenotaalpie"/>
        </w:rPr>
        <w:footnoteRef/>
      </w:r>
      <w:r>
        <w:t xml:space="preserve"> V</w:t>
      </w:r>
      <w:r w:rsidRPr="00106261">
        <w:t>éanse, entre otros, el Acuerdo número 21/2022, de 4 de marzo</w:t>
      </w:r>
      <w:r>
        <w:t xml:space="preserve"> (</w:t>
      </w:r>
      <w:proofErr w:type="spellStart"/>
      <w:r w:rsidRPr="00106261">
        <w:t>rec.</w:t>
      </w:r>
      <w:proofErr w:type="spellEnd"/>
      <w:r w:rsidRPr="00106261">
        <w:t xml:space="preserve"> 10/2022</w:t>
      </w:r>
      <w:r>
        <w:t xml:space="preserve"> </w:t>
      </w:r>
      <w:r w:rsidRPr="00106261">
        <w:t>y 15/2022</w:t>
      </w:r>
      <w:r>
        <w:t>)</w:t>
      </w:r>
      <w:r w:rsidRPr="00106261">
        <w:t>; así como el Acuerdo número 44/2022 de 11 de mayo</w:t>
      </w:r>
      <w:r>
        <w:t xml:space="preserve"> (</w:t>
      </w:r>
      <w:proofErr w:type="spellStart"/>
      <w:r w:rsidRPr="00106261">
        <w:t>rec.</w:t>
      </w:r>
      <w:proofErr w:type="spellEnd"/>
      <w:r w:rsidRPr="00106261">
        <w:t xml:space="preserve"> 6/2022</w:t>
      </w:r>
      <w:r>
        <w:t>).</w:t>
      </w:r>
    </w:p>
  </w:footnote>
  <w:footnote w:id="28">
    <w:p w14:paraId="0788D9FE" w14:textId="77777777" w:rsidR="005F06AD" w:rsidRPr="00106261" w:rsidRDefault="005F06AD" w:rsidP="005F06AD">
      <w:pPr>
        <w:pStyle w:val="Textonotapie"/>
      </w:pPr>
      <w:r>
        <w:rPr>
          <w:rStyle w:val="Refdenotaalpie"/>
        </w:rPr>
        <w:footnoteRef/>
      </w:r>
      <w:r>
        <w:t xml:space="preserve"> V</w:t>
      </w:r>
      <w:r w:rsidRPr="00106261">
        <w:t>éanse, entre otras, la Resolución número 157/2022, de 6 de julio</w:t>
      </w:r>
      <w:r>
        <w:t xml:space="preserve"> (</w:t>
      </w:r>
      <w:proofErr w:type="spellStart"/>
      <w:r>
        <w:t>r</w:t>
      </w:r>
      <w:r w:rsidRPr="00106261">
        <w:t>ec.</w:t>
      </w:r>
      <w:proofErr w:type="spellEnd"/>
      <w:r w:rsidRPr="00106261">
        <w:t xml:space="preserve"> N-2022-0237</w:t>
      </w:r>
      <w:r>
        <w:t>)</w:t>
      </w:r>
      <w:r w:rsidRPr="00106261">
        <w:t xml:space="preserve"> y la ya citada Resolución número 576/2023, de 2 de noviembre</w:t>
      </w:r>
      <w:r>
        <w:t xml:space="preserve"> (</w:t>
      </w:r>
      <w:proofErr w:type="spellStart"/>
      <w:r>
        <w:t>r</w:t>
      </w:r>
      <w:r w:rsidRPr="00106261">
        <w:t>ec.</w:t>
      </w:r>
      <w:proofErr w:type="spellEnd"/>
      <w:r w:rsidRPr="00106261">
        <w:t xml:space="preserve"> N-2023-0218</w:t>
      </w:r>
      <w:r>
        <w:t>).</w:t>
      </w:r>
    </w:p>
  </w:footnote>
  <w:footnote w:id="29">
    <w:p w14:paraId="281F94C8" w14:textId="77777777" w:rsidR="005F06AD" w:rsidRPr="00106261" w:rsidRDefault="005F06AD" w:rsidP="005F06AD">
      <w:pPr>
        <w:pStyle w:val="Textonotapie"/>
      </w:pPr>
      <w:r>
        <w:rPr>
          <w:rStyle w:val="Refdenotaalpie"/>
        </w:rPr>
        <w:footnoteRef/>
      </w:r>
      <w:r>
        <w:t xml:space="preserve"> Véanse, entre otras, Resolución número 141/2022, de 14 de septiembre (</w:t>
      </w:r>
      <w:proofErr w:type="spellStart"/>
      <w:r>
        <w:t>rec.</w:t>
      </w:r>
      <w:proofErr w:type="spellEnd"/>
      <w:r>
        <w:t xml:space="preserve"> 101/2022) y la Resolución número 77/2022, de 2 de junio (</w:t>
      </w:r>
      <w:proofErr w:type="spellStart"/>
      <w:r>
        <w:t>rec.</w:t>
      </w:r>
      <w:proofErr w:type="spellEnd"/>
      <w:r>
        <w:t xml:space="preserve"> 34/2022).</w:t>
      </w:r>
    </w:p>
  </w:footnote>
  <w:footnote w:id="30">
    <w:p w14:paraId="5E9B7646" w14:textId="77777777" w:rsidR="005F06AD" w:rsidRPr="009C79FE" w:rsidRDefault="005F06AD" w:rsidP="005F06AD">
      <w:pPr>
        <w:pStyle w:val="Textonotapie"/>
      </w:pPr>
      <w:r>
        <w:rPr>
          <w:rStyle w:val="Refdenotaalpie"/>
        </w:rPr>
        <w:footnoteRef/>
      </w:r>
      <w:r>
        <w:t xml:space="preserve"> </w:t>
      </w:r>
      <w:r w:rsidRPr="009C79FE">
        <w:t>Véase la Resolución número 59/2023, de 28 de febrero</w:t>
      </w:r>
      <w:r>
        <w:t xml:space="preserve"> (</w:t>
      </w:r>
      <w:proofErr w:type="spellStart"/>
      <w:r w:rsidRPr="009C79FE">
        <w:t>rec.</w:t>
      </w:r>
      <w:proofErr w:type="spellEnd"/>
      <w:r w:rsidRPr="009C79FE">
        <w:t xml:space="preserve"> 23/2023</w:t>
      </w:r>
      <w:r>
        <w:t>).</w:t>
      </w:r>
    </w:p>
  </w:footnote>
  <w:footnote w:id="31">
    <w:p w14:paraId="0D154F6C" w14:textId="77777777" w:rsidR="005F06AD" w:rsidRPr="009C79FE" w:rsidRDefault="005F06AD" w:rsidP="005F06AD">
      <w:pPr>
        <w:pStyle w:val="Textonotapie"/>
      </w:pPr>
      <w:r>
        <w:rPr>
          <w:rStyle w:val="Refdenotaalpie"/>
        </w:rPr>
        <w:footnoteRef/>
      </w:r>
      <w:r>
        <w:t xml:space="preserve"> </w:t>
      </w:r>
      <w:r w:rsidRPr="009C79FE">
        <w:t>Sentencia del Tribunal Superior de Justicia de la Comunidad Valenciana número 178/2023, de 8 de marz</w:t>
      </w:r>
      <w:r>
        <w:t>o (</w:t>
      </w:r>
      <w:proofErr w:type="spellStart"/>
      <w:r w:rsidRPr="009C79FE">
        <w:t>rec.</w:t>
      </w:r>
      <w:proofErr w:type="spellEnd"/>
      <w:r w:rsidRPr="009C79FE">
        <w:t xml:space="preserve"> 212/2021</w:t>
      </w:r>
      <w:r>
        <w:t>)</w:t>
      </w:r>
      <w:r w:rsidRPr="009C79FE">
        <w:t xml:space="preserve"> y Sentencia de la Sala de lo Contencioso-Administrativo de la Audiencia Nacional de 15 de febrero de 2023</w:t>
      </w:r>
      <w:r>
        <w:t xml:space="preserve"> (</w:t>
      </w:r>
      <w:proofErr w:type="spellStart"/>
      <w:r w:rsidRPr="009C79FE">
        <w:t>rec.</w:t>
      </w:r>
      <w:proofErr w:type="spellEnd"/>
      <w:r w:rsidRPr="009C79FE">
        <w:t xml:space="preserve"> 1096/2020</w:t>
      </w:r>
      <w:r>
        <w:t>).</w:t>
      </w:r>
    </w:p>
  </w:footnote>
  <w:footnote w:id="32">
    <w:p w14:paraId="05949C9B" w14:textId="77777777" w:rsidR="005F06AD" w:rsidRPr="00A64080" w:rsidRDefault="005F06AD" w:rsidP="005F06AD">
      <w:pPr>
        <w:pStyle w:val="Textonotapie"/>
      </w:pPr>
      <w:r>
        <w:rPr>
          <w:rStyle w:val="Refdenotaalpie"/>
        </w:rPr>
        <w:footnoteRef/>
      </w:r>
      <w:r>
        <w:t xml:space="preserve"> V</w:t>
      </w:r>
      <w:r w:rsidRPr="00A64080">
        <w:t>éase, Resolución del OARC/KEAO número 73/2021, de 30 de abril (</w:t>
      </w:r>
      <w:proofErr w:type="spellStart"/>
      <w:r w:rsidRPr="00A64080">
        <w:t>rec.</w:t>
      </w:r>
      <w:proofErr w:type="spellEnd"/>
      <w:r w:rsidRPr="00A64080">
        <w:t xml:space="preserve"> 2021/21)</w:t>
      </w:r>
      <w:r>
        <w:t>.</w:t>
      </w:r>
    </w:p>
  </w:footnote>
  <w:footnote w:id="33">
    <w:p w14:paraId="3148ACE4" w14:textId="77777777" w:rsidR="005F06AD" w:rsidRPr="0090118A" w:rsidRDefault="005F06AD" w:rsidP="005F06AD">
      <w:pPr>
        <w:pStyle w:val="Textonotapie"/>
      </w:pPr>
      <w:r w:rsidRPr="0090118A">
        <w:rPr>
          <w:rStyle w:val="Refdenotaalpie"/>
        </w:rPr>
        <w:footnoteRef/>
      </w:r>
      <w:r w:rsidRPr="0090118A">
        <w:t xml:space="preserve"> Véase Resolución del OARC/KEAO número 181/2021, de 17 de noviembre (</w:t>
      </w:r>
      <w:proofErr w:type="spellStart"/>
      <w:r w:rsidRPr="0090118A">
        <w:t>rec.</w:t>
      </w:r>
      <w:proofErr w:type="spellEnd"/>
      <w:r w:rsidRPr="0090118A">
        <w:t xml:space="preserve"> 2021/155</w:t>
      </w:r>
      <w:r>
        <w:t>).</w:t>
      </w:r>
    </w:p>
  </w:footnote>
  <w:footnote w:id="34">
    <w:p w14:paraId="4C1D84B6" w14:textId="77777777" w:rsidR="005F06AD" w:rsidRPr="00C0349F" w:rsidRDefault="005F06AD" w:rsidP="005F06AD">
      <w:pPr>
        <w:pStyle w:val="Textonotapie"/>
      </w:pPr>
      <w:r>
        <w:rPr>
          <w:rStyle w:val="Refdenotaalpie"/>
        </w:rPr>
        <w:footnoteRef/>
      </w:r>
      <w:r>
        <w:t xml:space="preserve"> Véase Resolución</w:t>
      </w:r>
      <w:r w:rsidRPr="008D2BC6">
        <w:t xml:space="preserve"> del OARC/KEAO </w:t>
      </w:r>
      <w:r>
        <w:t>número 201/2023, de 14 de noviembre (</w:t>
      </w:r>
      <w:proofErr w:type="spellStart"/>
      <w:r>
        <w:t>rec.</w:t>
      </w:r>
      <w:proofErr w:type="spellEnd"/>
      <w:r>
        <w:t xml:space="preserve"> 2023/130).</w:t>
      </w:r>
    </w:p>
  </w:footnote>
  <w:footnote w:id="35">
    <w:p w14:paraId="23792AD0" w14:textId="77777777" w:rsidR="005F06AD" w:rsidRPr="00004226" w:rsidRDefault="005F06AD" w:rsidP="005F06AD">
      <w:pPr>
        <w:pStyle w:val="Textonotapie"/>
      </w:pPr>
      <w:r>
        <w:rPr>
          <w:rStyle w:val="Refdenotaalpie"/>
        </w:rPr>
        <w:footnoteRef/>
      </w:r>
      <w:r>
        <w:t xml:space="preserve"> Véase Resolución del OARC/KEAO número 201/2023, de 14 de noviembre (</w:t>
      </w:r>
      <w:proofErr w:type="spellStart"/>
      <w:r>
        <w:t>rec.</w:t>
      </w:r>
      <w:proofErr w:type="spellEnd"/>
      <w:r>
        <w:t xml:space="preserve"> 2023/130).</w:t>
      </w:r>
    </w:p>
  </w:footnote>
  <w:footnote w:id="36">
    <w:p w14:paraId="7A6C283A" w14:textId="77777777" w:rsidR="005F06AD" w:rsidRPr="00004226" w:rsidRDefault="005F06AD" w:rsidP="005F06AD">
      <w:pPr>
        <w:pStyle w:val="Textonotapie"/>
      </w:pPr>
      <w:r>
        <w:rPr>
          <w:rStyle w:val="Refdenotaalpie"/>
        </w:rPr>
        <w:footnoteRef/>
      </w:r>
      <w:r>
        <w:t xml:space="preserve"> Véanse Resoluciones </w:t>
      </w:r>
      <w:r w:rsidRPr="008D2BC6">
        <w:t xml:space="preserve">del OARC/KEAO </w:t>
      </w:r>
      <w:r w:rsidRPr="004B477C">
        <w:t>número 164/2020, de</w:t>
      </w:r>
      <w:r>
        <w:t xml:space="preserve"> 2 de diciembre (rec.2020/123) y la reciente número 201/2023, de 14 de noviembre (</w:t>
      </w:r>
      <w:proofErr w:type="spellStart"/>
      <w:r>
        <w:t>rec.</w:t>
      </w:r>
      <w:proofErr w:type="spellEnd"/>
      <w:r>
        <w:t xml:space="preserve"> 2023/130).</w:t>
      </w:r>
    </w:p>
  </w:footnote>
  <w:footnote w:id="37">
    <w:p w14:paraId="225041E4" w14:textId="77777777" w:rsidR="005F06AD" w:rsidRPr="008D2BC6" w:rsidRDefault="005F06AD" w:rsidP="005F06AD">
      <w:pPr>
        <w:pStyle w:val="Textonotapie"/>
      </w:pPr>
      <w:r>
        <w:rPr>
          <w:rStyle w:val="Refdenotaalpie"/>
        </w:rPr>
        <w:footnoteRef/>
      </w:r>
      <w:r>
        <w:t xml:space="preserve"> V</w:t>
      </w:r>
      <w:r w:rsidRPr="008D2BC6">
        <w:t xml:space="preserve">éanse, Resolución del OARC/KEAO número 73/2021, de 30 de abril, </w:t>
      </w:r>
      <w:proofErr w:type="spellStart"/>
      <w:r w:rsidRPr="008D2BC6">
        <w:t>rec.</w:t>
      </w:r>
      <w:proofErr w:type="spellEnd"/>
      <w:r w:rsidRPr="008D2BC6">
        <w:t xml:space="preserve"> 2021/21, incluida en la Compilación sistemática de la doctrina del OARC/KEAO de los años 2018-2021; y Resolución del OARC/KEAO número 47/2022, de 8 de marzo, </w:t>
      </w:r>
      <w:proofErr w:type="spellStart"/>
      <w:r w:rsidRPr="008D2BC6">
        <w:t>rec.</w:t>
      </w:r>
      <w:proofErr w:type="spellEnd"/>
      <w:r w:rsidRPr="008D2BC6">
        <w:t xml:space="preserve"> 2021/225</w:t>
      </w:r>
      <w:r>
        <w:t>.</w:t>
      </w:r>
    </w:p>
  </w:footnote>
  <w:footnote w:id="38">
    <w:p w14:paraId="7BFC9560" w14:textId="77777777" w:rsidR="005F06AD" w:rsidRDefault="005F06AD" w:rsidP="005F06AD">
      <w:pPr>
        <w:pStyle w:val="Textonotapie"/>
      </w:pPr>
      <w:r>
        <w:rPr>
          <w:rStyle w:val="Refdenotaalpie"/>
        </w:rPr>
        <w:footnoteRef/>
      </w:r>
      <w:r>
        <w:t xml:space="preserve"> El objeto del recurso es la</w:t>
      </w:r>
      <w:r w:rsidRPr="00700B08">
        <w:t xml:space="preserve"> Sentencia</w:t>
      </w:r>
      <w:r>
        <w:t xml:space="preserve"> número 1/2021, de 4 de enero,</w:t>
      </w:r>
      <w:r w:rsidRPr="00700B08">
        <w:t xml:space="preserve"> de la Sección Primera de la Sala de lo Contencioso-Administrativo del Tribunal Superior de Castilla y León (sede Valladolid) que estimó un recurso contra una Resolución del Tribunal Administrativo de Recursos Contractuales de Castilla y León, considerando </w:t>
      </w:r>
      <w:r>
        <w:t>la Sala</w:t>
      </w:r>
      <w:r w:rsidRPr="00700B08">
        <w:t xml:space="preserve"> que, </w:t>
      </w:r>
      <w:r>
        <w:t>tratándose en ese caso de un</w:t>
      </w:r>
      <w:r w:rsidRPr="00700B08">
        <w:t xml:space="preserve"> contrato </w:t>
      </w:r>
      <w:r>
        <w:t>mixto</w:t>
      </w:r>
      <w:r w:rsidRPr="00700B08">
        <w:t>, cada una de las prestaciones y bases de la oferta tienen naturaleza distinta y, por ello, deben ser considerad</w:t>
      </w:r>
      <w:r>
        <w:t>a</w:t>
      </w:r>
      <w:r w:rsidRPr="00700B08">
        <w:t>s elementos estancos sin que, por tanto, se puedan trasvasar costes entre ellos</w:t>
      </w:r>
      <w:r>
        <w:t xml:space="preserve">. </w:t>
      </w:r>
    </w:p>
    <w:p w14:paraId="23FB8401" w14:textId="77777777" w:rsidR="005F06AD" w:rsidRPr="00700B08" w:rsidRDefault="005F06AD" w:rsidP="005F06AD">
      <w:pPr>
        <w:pStyle w:val="Textonotapie"/>
      </w:pPr>
      <w:r>
        <w:t xml:space="preserve">El Tribunal Supremo ha acordado que la cuestión en la que existe interés casacional para la formación de jurisprudencia es, determinar, en atención a la naturaleza de los contratos mixtos, la relación que guardan entre sí las distintas prestaciones que los componen con especial referencia a la incidencia que la misma pudiera tener en la valoración de los distintos criterios a ponderar en una adjudicación de contrato. </w:t>
      </w:r>
    </w:p>
  </w:footnote>
  <w:footnote w:id="39">
    <w:p w14:paraId="0303E538" w14:textId="77777777" w:rsidR="005F06AD" w:rsidRDefault="005F06AD" w:rsidP="005F06AD">
      <w:pPr>
        <w:pStyle w:val="Textonotapie"/>
      </w:pPr>
      <w:r>
        <w:rPr>
          <w:rStyle w:val="Refdenotaalpie"/>
        </w:rPr>
        <w:footnoteRef/>
      </w:r>
      <w:r>
        <w:t xml:space="preserve"> </w:t>
      </w:r>
      <w:r w:rsidRPr="000E0EAE">
        <w:t>LÉRIDA NAVARRO</w:t>
      </w:r>
      <w:r>
        <w:t xml:space="preserve">, C. </w:t>
      </w:r>
      <w:r w:rsidRPr="000E0EAE">
        <w:t>y VÁZQUEZ MATILLA</w:t>
      </w:r>
      <w:r>
        <w:t>, F.J. (2020)</w:t>
      </w:r>
      <w:r w:rsidRPr="000E0EAE">
        <w:t xml:space="preserve"> </w:t>
      </w:r>
      <w:r>
        <w:t>“</w:t>
      </w:r>
      <w:r w:rsidRPr="000E0EAE">
        <w:t>Las fórmulas de valoración económica. Problemas prácticos</w:t>
      </w:r>
      <w:r>
        <w:t>”.</w:t>
      </w:r>
      <w:r w:rsidRPr="000E0EAE">
        <w:rPr>
          <w:i/>
          <w:iCs/>
        </w:rPr>
        <w:t xml:space="preserve"> </w:t>
      </w:r>
      <w:r w:rsidRPr="00BF70D1">
        <w:rPr>
          <w:i/>
          <w:iCs/>
        </w:rPr>
        <w:t>Observatorio de Contratación Pública.</w:t>
      </w:r>
      <w:r>
        <w:t xml:space="preserve"> </w:t>
      </w:r>
    </w:p>
    <w:p w14:paraId="477D5A6D" w14:textId="77777777" w:rsidR="005F06AD" w:rsidRPr="000E0EAE" w:rsidRDefault="005F06AD" w:rsidP="005F06AD">
      <w:pPr>
        <w:pStyle w:val="Textonotapie"/>
      </w:pPr>
      <w:r>
        <w:t>ROS ARPA, C. (2019) “</w:t>
      </w:r>
      <w:r w:rsidRPr="001B2DD6">
        <w:t>Dos fórmulas de valoración de las ofertas económicas adecuadas a la Ley 9/2017, de Contratos del Sector Público</w:t>
      </w:r>
      <w:r>
        <w:t xml:space="preserve">”. </w:t>
      </w:r>
      <w:r w:rsidRPr="001B2DD6">
        <w:rPr>
          <w:i/>
          <w:iCs/>
        </w:rPr>
        <w:t>QDL51 Cuadernos de Derecho Local Fundación Democracia y Gobierno Local</w:t>
      </w:r>
      <w:r>
        <w:t>.</w:t>
      </w:r>
    </w:p>
  </w:footnote>
  <w:footnote w:id="40">
    <w:p w14:paraId="2F02F393" w14:textId="77777777" w:rsidR="005F06AD" w:rsidRPr="00F82C87" w:rsidRDefault="005F06AD" w:rsidP="005F06AD">
      <w:pPr>
        <w:pStyle w:val="Textonotapie"/>
      </w:pPr>
      <w:r>
        <w:rPr>
          <w:rStyle w:val="Refdenotaalpie"/>
        </w:rPr>
        <w:footnoteRef/>
      </w:r>
      <w:r>
        <w:t xml:space="preserve"> Esta opción pudiera llegar a ser cuestionada en tanto que el Tribunal Supremo en su Sentencia número 1828/2019, de 17 de diciembre de 2019 (</w:t>
      </w:r>
      <w:proofErr w:type="spellStart"/>
      <w:r>
        <w:t>rec.</w:t>
      </w:r>
      <w:proofErr w:type="spellEnd"/>
      <w:r>
        <w:t xml:space="preserve"> 862/2917), dictada en sede casacional, estableció que </w:t>
      </w:r>
      <w:r w:rsidRPr="00CE114B">
        <w:t>“en los contratos del sector público con precios referidos a componentes de la prestación, la determinación de si una oferta incluye valores anormales o desproporcionados, a efectos de la aplicación de los artículos 152 del texto refundido de la Ley de Contratos del Sector Público y 85 del Reglamento de Ley de Contratos de las Administraciones Públicas, ha de efectuarse en relación con la oferta global y completa presentada por el licitador</w:t>
      </w:r>
      <w:r w:rsidRPr="00F31C8A">
        <w:t>”.</w:t>
      </w:r>
    </w:p>
  </w:footnote>
  <w:footnote w:id="41">
    <w:p w14:paraId="1F470F11" w14:textId="77777777" w:rsidR="005F06AD" w:rsidRPr="002855D1" w:rsidRDefault="005F06AD" w:rsidP="005F06AD">
      <w:pPr>
        <w:pStyle w:val="Textonotapie"/>
      </w:pPr>
      <w:r>
        <w:rPr>
          <w:rStyle w:val="Refdenotaalpie"/>
        </w:rPr>
        <w:footnoteRef/>
      </w:r>
      <w:r>
        <w:t xml:space="preserve"> Esta solución fue aceptada por </w:t>
      </w:r>
      <w:r w:rsidRPr="002855D1">
        <w:t>el Tribunal Superior de Justicia del País Vasco en su Sentencia número 362/2018, de 28 de noviembre de 2018 (</w:t>
      </w:r>
      <w:proofErr w:type="spellStart"/>
      <w:r w:rsidRPr="002855D1">
        <w:t>rec.</w:t>
      </w:r>
      <w:proofErr w:type="spellEnd"/>
      <w:r w:rsidRPr="002855D1">
        <w:t xml:space="preserve"> 911/2016), si bien se trataba de un pliego firme por no haber sido impugnado</w:t>
      </w:r>
      <w:r>
        <w:t>.</w:t>
      </w:r>
    </w:p>
  </w:footnote>
  <w:footnote w:id="42">
    <w:p w14:paraId="0419CFA7" w14:textId="77777777" w:rsidR="005F06AD" w:rsidRPr="00F82C87" w:rsidRDefault="005F06AD" w:rsidP="005F06AD">
      <w:pPr>
        <w:pStyle w:val="Textonotapie"/>
      </w:pPr>
      <w:r>
        <w:rPr>
          <w:rStyle w:val="Refdenotaalpie"/>
        </w:rPr>
        <w:footnoteRef/>
      </w:r>
      <w:r>
        <w:t xml:space="preserve"> Así como en el artículo 98 de la Ley Foral 2/2018, de 13 de abril, de Contratos Públicos de Navarra.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2547" w:type="dxa"/>
      <w:tblLook w:val="04A0" w:firstRow="1" w:lastRow="0" w:firstColumn="1" w:lastColumn="0" w:noHBand="0" w:noVBand="1"/>
    </w:tblPr>
    <w:tblGrid>
      <w:gridCol w:w="2547"/>
    </w:tblGrid>
    <w:tr w:rsidR="00B13EB9" w14:paraId="4E71DE5C" w14:textId="77777777" w:rsidTr="00B13EB9">
      <w:tc>
        <w:tcPr>
          <w:tcW w:w="2547" w:type="dxa"/>
          <w:tcBorders>
            <w:top w:val="nil"/>
            <w:left w:val="nil"/>
            <w:bottom w:val="nil"/>
            <w:right w:val="nil"/>
          </w:tcBorders>
        </w:tcPr>
        <w:p w14:paraId="4B94D5A5" w14:textId="2D866030" w:rsidR="00B13EB9" w:rsidRDefault="00B13EB9" w:rsidP="0046030B">
          <w:pPr>
            <w:pStyle w:val="Encabezado"/>
            <w:rPr>
              <w:sz w:val="56"/>
            </w:rPr>
          </w:pPr>
        </w:p>
      </w:tc>
    </w:tr>
  </w:tbl>
  <w:p w14:paraId="45FB0818" w14:textId="77777777" w:rsidR="0046030B" w:rsidRDefault="004603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EE"/>
    <w:multiLevelType w:val="hybridMultilevel"/>
    <w:tmpl w:val="FF2AA502"/>
    <w:lvl w:ilvl="0" w:tplc="C60E989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0B2F65"/>
    <w:multiLevelType w:val="hybridMultilevel"/>
    <w:tmpl w:val="670801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B02257A"/>
    <w:multiLevelType w:val="hybridMultilevel"/>
    <w:tmpl w:val="FF3EAE36"/>
    <w:lvl w:ilvl="0" w:tplc="5674247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69773A"/>
    <w:multiLevelType w:val="hybridMultilevel"/>
    <w:tmpl w:val="89726F5E"/>
    <w:lvl w:ilvl="0" w:tplc="0B425C20">
      <w:start w:val="1"/>
      <w:numFmt w:val="bullet"/>
      <w:lvlText w:val=""/>
      <w:lvlJc w:val="left"/>
      <w:pPr>
        <w:ind w:left="720" w:hanging="360"/>
      </w:pPr>
      <w:rPr>
        <w:rFonts w:ascii="Symbol" w:hAnsi="Symbol" w:hint="default"/>
      </w:rPr>
    </w:lvl>
    <w:lvl w:ilvl="1" w:tplc="AE7EBA5A">
      <w:start w:val="1"/>
      <w:numFmt w:val="bullet"/>
      <w:lvlText w:val="o"/>
      <w:lvlJc w:val="left"/>
      <w:pPr>
        <w:ind w:left="1440" w:hanging="360"/>
      </w:pPr>
      <w:rPr>
        <w:rFonts w:ascii="Courier New" w:hAnsi="Courier New" w:hint="default"/>
      </w:rPr>
    </w:lvl>
    <w:lvl w:ilvl="2" w:tplc="95124BC6">
      <w:start w:val="1"/>
      <w:numFmt w:val="bullet"/>
      <w:lvlText w:val=""/>
      <w:lvlJc w:val="left"/>
      <w:pPr>
        <w:ind w:left="2160" w:hanging="360"/>
      </w:pPr>
      <w:rPr>
        <w:rFonts w:ascii="Wingdings" w:hAnsi="Wingdings" w:hint="default"/>
      </w:rPr>
    </w:lvl>
    <w:lvl w:ilvl="3" w:tplc="52C26E2A">
      <w:start w:val="1"/>
      <w:numFmt w:val="bullet"/>
      <w:lvlText w:val=""/>
      <w:lvlJc w:val="left"/>
      <w:pPr>
        <w:ind w:left="2880" w:hanging="360"/>
      </w:pPr>
      <w:rPr>
        <w:rFonts w:ascii="Symbol" w:hAnsi="Symbol" w:hint="default"/>
      </w:rPr>
    </w:lvl>
    <w:lvl w:ilvl="4" w:tplc="9B36E69C">
      <w:start w:val="1"/>
      <w:numFmt w:val="bullet"/>
      <w:lvlText w:val="o"/>
      <w:lvlJc w:val="left"/>
      <w:pPr>
        <w:ind w:left="3600" w:hanging="360"/>
      </w:pPr>
      <w:rPr>
        <w:rFonts w:ascii="Courier New" w:hAnsi="Courier New" w:hint="default"/>
      </w:rPr>
    </w:lvl>
    <w:lvl w:ilvl="5" w:tplc="703073CC">
      <w:start w:val="1"/>
      <w:numFmt w:val="bullet"/>
      <w:lvlText w:val=""/>
      <w:lvlJc w:val="left"/>
      <w:pPr>
        <w:ind w:left="4320" w:hanging="360"/>
      </w:pPr>
      <w:rPr>
        <w:rFonts w:ascii="Wingdings" w:hAnsi="Wingdings" w:hint="default"/>
      </w:rPr>
    </w:lvl>
    <w:lvl w:ilvl="6" w:tplc="D2B04502">
      <w:start w:val="1"/>
      <w:numFmt w:val="bullet"/>
      <w:lvlText w:val=""/>
      <w:lvlJc w:val="left"/>
      <w:pPr>
        <w:ind w:left="5040" w:hanging="360"/>
      </w:pPr>
      <w:rPr>
        <w:rFonts w:ascii="Symbol" w:hAnsi="Symbol" w:hint="default"/>
      </w:rPr>
    </w:lvl>
    <w:lvl w:ilvl="7" w:tplc="E3FCD414">
      <w:start w:val="1"/>
      <w:numFmt w:val="bullet"/>
      <w:lvlText w:val="o"/>
      <w:lvlJc w:val="left"/>
      <w:pPr>
        <w:ind w:left="5760" w:hanging="360"/>
      </w:pPr>
      <w:rPr>
        <w:rFonts w:ascii="Courier New" w:hAnsi="Courier New" w:hint="default"/>
      </w:rPr>
    </w:lvl>
    <w:lvl w:ilvl="8" w:tplc="AF70EEF8">
      <w:start w:val="1"/>
      <w:numFmt w:val="bullet"/>
      <w:lvlText w:val=""/>
      <w:lvlJc w:val="left"/>
      <w:pPr>
        <w:ind w:left="6480" w:hanging="360"/>
      </w:pPr>
      <w:rPr>
        <w:rFonts w:ascii="Wingdings" w:hAnsi="Wingdings" w:hint="default"/>
      </w:rPr>
    </w:lvl>
  </w:abstractNum>
  <w:num w:numId="1" w16cid:durableId="381559069">
    <w:abstractNumId w:val="3"/>
  </w:num>
  <w:num w:numId="2" w16cid:durableId="2137990793">
    <w:abstractNumId w:val="0"/>
  </w:num>
  <w:num w:numId="3" w16cid:durableId="156919698">
    <w:abstractNumId w:val="1"/>
  </w:num>
  <w:num w:numId="4" w16cid:durableId="46709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8F"/>
    <w:rsid w:val="00020695"/>
    <w:rsid w:val="000415DC"/>
    <w:rsid w:val="0023718F"/>
    <w:rsid w:val="002D68F0"/>
    <w:rsid w:val="00423C66"/>
    <w:rsid w:val="0044654D"/>
    <w:rsid w:val="0046030B"/>
    <w:rsid w:val="004F3021"/>
    <w:rsid w:val="005332AF"/>
    <w:rsid w:val="0058440F"/>
    <w:rsid w:val="005F06AD"/>
    <w:rsid w:val="005F70B7"/>
    <w:rsid w:val="0061330A"/>
    <w:rsid w:val="00667B17"/>
    <w:rsid w:val="006B40F7"/>
    <w:rsid w:val="008D79AE"/>
    <w:rsid w:val="008F0E73"/>
    <w:rsid w:val="00A56071"/>
    <w:rsid w:val="00A7598D"/>
    <w:rsid w:val="00AD731C"/>
    <w:rsid w:val="00B13EB9"/>
    <w:rsid w:val="00BB4A94"/>
    <w:rsid w:val="00C11930"/>
    <w:rsid w:val="00C715AF"/>
    <w:rsid w:val="00C74F65"/>
    <w:rsid w:val="00C857DD"/>
    <w:rsid w:val="00CE635C"/>
    <w:rsid w:val="00D1768F"/>
    <w:rsid w:val="00D74545"/>
    <w:rsid w:val="00DC32C1"/>
    <w:rsid w:val="00DE105A"/>
    <w:rsid w:val="00DF370E"/>
    <w:rsid w:val="00EA5CBF"/>
    <w:rsid w:val="00F02A77"/>
    <w:rsid w:val="00F11122"/>
    <w:rsid w:val="00F43809"/>
    <w:rsid w:val="00FC7186"/>
    <w:rsid w:val="00FD1822"/>
    <w:rsid w:val="00FF02C1"/>
    <w:rsid w:val="030BA0AD"/>
    <w:rsid w:val="03AA148D"/>
    <w:rsid w:val="3B19850E"/>
    <w:rsid w:val="479289E5"/>
    <w:rsid w:val="50609CD0"/>
    <w:rsid w:val="5E4DC7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CF15"/>
  <w15:chartTrackingRefBased/>
  <w15:docId w15:val="{D1CC58C9-A8B2-4221-82CE-B949E4D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03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030B"/>
  </w:style>
  <w:style w:type="paragraph" w:styleId="Piedepgina">
    <w:name w:val="footer"/>
    <w:basedOn w:val="Normal"/>
    <w:link w:val="PiedepginaCar"/>
    <w:uiPriority w:val="99"/>
    <w:unhideWhenUsed/>
    <w:rsid w:val="004603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030B"/>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uiPriority w:val="99"/>
    <w:semiHidden/>
    <w:unhideWhenUsed/>
    <w:rsid w:val="005F06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06AD"/>
    <w:rPr>
      <w:sz w:val="20"/>
      <w:szCs w:val="20"/>
    </w:rPr>
  </w:style>
  <w:style w:type="character" w:styleId="Refdenotaalpie">
    <w:name w:val="footnote reference"/>
    <w:qFormat/>
    <w:rsid w:val="005F06AD"/>
    <w:rPr>
      <w:rFonts w:ascii="Arial" w:hAnsi="Arial"/>
      <w:sz w:val="18"/>
      <w:vertAlign w:val="superscript"/>
    </w:rPr>
  </w:style>
  <w:style w:type="character" w:styleId="Hipervnculo">
    <w:name w:val="Hyperlink"/>
    <w:uiPriority w:val="99"/>
    <w:qFormat/>
    <w:rsid w:val="005F06AD"/>
    <w:rPr>
      <w:rFonts w:ascii="Arial" w:hAnsi="Arial"/>
      <w:color w:val="009A7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12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calsl.com/blog/2022/05/ofertas_contratacion_publica" TargetMode="External"/><Relationship Id="rId1" Type="http://schemas.openxmlformats.org/officeDocument/2006/relationships/hyperlink" Target="https://www.administracionpublica.com/ofertas-de-precio-cero-en-un-contrato-pub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35</TotalTime>
  <Pages>10</Pages>
  <Words>3346</Words>
  <Characters>18403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NTTData</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Sara Colungo Marugan</cp:lastModifiedBy>
  <cp:revision>3</cp:revision>
  <dcterms:created xsi:type="dcterms:W3CDTF">2024-02-05T16:49:00Z</dcterms:created>
  <dcterms:modified xsi:type="dcterms:W3CDTF">2024-02-05T16:50:00Z</dcterms:modified>
</cp:coreProperties>
</file>